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廊坊市大厂回族自治县大厂镇人民政府</w:t>
      </w:r>
    </w:p>
    <w:p>
      <w:pPr>
        <w:snapToGrid w:val="0"/>
        <w:spacing w:line="600" w:lineRule="exact"/>
        <w:contextualSpacing/>
        <w:jc w:val="center"/>
        <w:rPr>
          <w:rFonts w:ascii="方正小标宋简体" w:hAnsi="仿宋" w:eastAsia="方正小标宋简体"/>
          <w:sz w:val="44"/>
          <w:szCs w:val="44"/>
        </w:rPr>
      </w:pPr>
      <w:r>
        <w:rPr>
          <w:rFonts w:ascii="方正小标宋简体" w:hAnsi="仿宋" w:eastAsia="方正小标宋简体"/>
          <w:sz w:val="44"/>
          <w:szCs w:val="44"/>
        </w:rPr>
        <w:t>2017</w:t>
      </w:r>
      <w:r>
        <w:rPr>
          <w:rFonts w:hint="eastAsia" w:ascii="方正小标宋简体" w:hAnsi="仿宋" w:eastAsia="方正小标宋简体"/>
          <w:sz w:val="44"/>
          <w:szCs w:val="44"/>
        </w:rPr>
        <w:t>年部门预算信息公开</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按照《中华人民共和国预算法》</w:t>
      </w:r>
      <w:bookmarkStart w:id="2" w:name="_GoBack"/>
      <w:bookmarkEnd w:id="2"/>
      <w:r>
        <w:rPr>
          <w:rFonts w:hint="eastAsia" w:ascii="仿宋" w:hAnsi="仿宋" w:eastAsia="仿宋" w:cs="仿宋"/>
          <w:sz w:val="32"/>
          <w:szCs w:val="32"/>
        </w:rPr>
        <w:t>、《地方预决算公开操作规程》和《河北省省级预算公开办法》规定，现将廊坊市大厂回族自治县大厂镇人民政府</w:t>
      </w:r>
      <w:r>
        <w:rPr>
          <w:rFonts w:ascii="仿宋" w:hAnsi="仿宋" w:eastAsia="仿宋" w:cs="仿宋"/>
          <w:sz w:val="32"/>
          <w:szCs w:val="32"/>
        </w:rPr>
        <w:t>2017</w:t>
      </w:r>
      <w:r>
        <w:rPr>
          <w:rFonts w:hint="eastAsia" w:ascii="仿宋" w:hAnsi="仿宋" w:eastAsia="仿宋" w:cs="仿宋"/>
          <w:sz w:val="32"/>
          <w:szCs w:val="32"/>
        </w:rPr>
        <w:t>年部门预算公开如下：</w:t>
      </w:r>
    </w:p>
    <w:p>
      <w:pPr>
        <w:spacing w:line="580" w:lineRule="exact"/>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rPr>
          <w:rFonts w:ascii="楷体" w:hAnsi="楷体" w:eastAsia="楷体"/>
          <w:b/>
          <w:sz w:val="32"/>
          <w:szCs w:val="32"/>
        </w:rPr>
      </w:pPr>
      <w:r>
        <w:rPr>
          <w:rFonts w:hint="eastAsia" w:ascii="楷体" w:hAnsi="楷体" w:eastAsia="楷体"/>
          <w:b/>
          <w:sz w:val="32"/>
          <w:szCs w:val="32"/>
        </w:rPr>
        <w:t>部门职责：</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6"/>
        <w:tblW w:w="111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7"/>
        <w:gridCol w:w="2126"/>
        <w:gridCol w:w="1712"/>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0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212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71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07" w:type="dxa"/>
            <w:vMerge w:val="continue"/>
            <w:vAlign w:val="center"/>
          </w:tcPr>
          <w:p>
            <w:pPr>
              <w:spacing w:line="300" w:lineRule="exact"/>
              <w:jc w:val="left"/>
              <w:outlineLvl w:val="0"/>
              <w:rPr>
                <w:rFonts w:ascii="Times New Roman" w:hAnsi="Times New Roman"/>
                <w:szCs w:val="24"/>
              </w:rPr>
            </w:pPr>
          </w:p>
        </w:tc>
        <w:tc>
          <w:tcPr>
            <w:tcW w:w="2126" w:type="dxa"/>
            <w:vMerge w:val="continue"/>
            <w:vAlign w:val="center"/>
          </w:tcPr>
          <w:p>
            <w:pPr>
              <w:spacing w:line="300" w:lineRule="exact"/>
              <w:jc w:val="left"/>
              <w:outlineLvl w:val="0"/>
              <w:rPr>
                <w:rFonts w:ascii="Times New Roman" w:hAnsi="Times New Roman"/>
                <w:szCs w:val="24"/>
              </w:rPr>
            </w:pPr>
          </w:p>
        </w:tc>
        <w:tc>
          <w:tcPr>
            <w:tcW w:w="1712"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0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大厂回族自治县大厂镇人民政府</w:t>
            </w:r>
          </w:p>
        </w:tc>
        <w:tc>
          <w:tcPr>
            <w:tcW w:w="212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71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0" w:lineRule="exact"/>
        <w:ind w:firstLine="640"/>
        <w:rPr>
          <w:rFonts w:ascii="黑体" w:hAnsi="黑体" w:eastAsia="黑体"/>
          <w:sz w:val="32"/>
          <w:szCs w:val="32"/>
        </w:rPr>
      </w:pPr>
      <w:r>
        <w:rPr>
          <w:rFonts w:hint="eastAsia" w:ascii="黑体" w:hAnsi="黑体" w:eastAsia="黑体"/>
          <w:sz w:val="32"/>
          <w:szCs w:val="32"/>
        </w:rPr>
        <w:t>二、部门预算安排的总体情况</w:t>
      </w:r>
    </w:p>
    <w:p>
      <w:pPr>
        <w:spacing w:line="58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按照预算管理有关规定，目前我部门预算的编制实行综合预算制度，即全部收入和支出都反映在预算中。我部门及所属事业单位的收支包含在部门预算中。</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2017</w:t>
      </w:r>
      <w:r>
        <w:rPr>
          <w:rFonts w:hint="eastAsia" w:ascii="仿宋" w:hAnsi="仿宋" w:eastAsia="仿宋" w:cs="仿宋"/>
          <w:sz w:val="32"/>
          <w:szCs w:val="32"/>
        </w:rPr>
        <w:t>年预算收入</w:t>
      </w:r>
      <w:r>
        <w:rPr>
          <w:rFonts w:ascii="仿宋" w:hAnsi="仿宋" w:eastAsia="仿宋" w:cs="仿宋"/>
          <w:sz w:val="32"/>
          <w:szCs w:val="32"/>
        </w:rPr>
        <w:t>1008.69</w:t>
      </w:r>
      <w:r>
        <w:rPr>
          <w:rFonts w:hint="eastAsia" w:ascii="仿宋" w:hAnsi="仿宋" w:eastAsia="仿宋" w:cs="仿宋"/>
          <w:sz w:val="32"/>
          <w:szCs w:val="32"/>
        </w:rPr>
        <w:t>万元，其中：一般公共预算收入</w:t>
      </w:r>
      <w:r>
        <w:rPr>
          <w:rFonts w:ascii="仿宋" w:hAnsi="仿宋" w:eastAsia="仿宋" w:cs="仿宋"/>
          <w:sz w:val="32"/>
          <w:szCs w:val="32"/>
        </w:rPr>
        <w:t>1008.69</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收支预算总表支出栏、基本支出表、项目支出表按经济分类和支出功能分类科目编制，反映廊坊市大厂回族自治县大厂镇人民政府</w:t>
      </w:r>
      <w:r>
        <w:rPr>
          <w:rFonts w:ascii="仿宋" w:hAnsi="仿宋" w:eastAsia="仿宋" w:cs="仿宋"/>
          <w:sz w:val="32"/>
          <w:szCs w:val="32"/>
        </w:rPr>
        <w:t>2017</w:t>
      </w:r>
      <w:r>
        <w:rPr>
          <w:rFonts w:hint="eastAsia" w:ascii="仿宋" w:hAnsi="仿宋" w:eastAsia="仿宋" w:cs="仿宋"/>
          <w:sz w:val="32"/>
          <w:szCs w:val="32"/>
        </w:rPr>
        <w:t>年部门预算中支出预算的总体情况。</w:t>
      </w:r>
      <w:r>
        <w:rPr>
          <w:rFonts w:ascii="仿宋" w:hAnsi="仿宋" w:eastAsia="仿宋" w:cs="仿宋"/>
          <w:sz w:val="32"/>
          <w:szCs w:val="32"/>
        </w:rPr>
        <w:t>2017</w:t>
      </w:r>
      <w:r>
        <w:rPr>
          <w:rFonts w:hint="eastAsia" w:ascii="仿宋" w:hAnsi="仿宋" w:eastAsia="仿宋" w:cs="仿宋"/>
          <w:sz w:val="32"/>
          <w:szCs w:val="32"/>
        </w:rPr>
        <w:t>年支出预算</w:t>
      </w:r>
      <w:r>
        <w:rPr>
          <w:rFonts w:ascii="仿宋" w:hAnsi="仿宋" w:eastAsia="仿宋" w:cs="仿宋"/>
          <w:sz w:val="32"/>
          <w:szCs w:val="32"/>
        </w:rPr>
        <w:t>1008.69</w:t>
      </w:r>
      <w:r>
        <w:rPr>
          <w:rFonts w:hint="eastAsia" w:ascii="仿宋" w:hAnsi="仿宋" w:eastAsia="仿宋" w:cs="仿宋"/>
          <w:sz w:val="32"/>
          <w:szCs w:val="32"/>
        </w:rPr>
        <w:t>万元，其中基本支出</w:t>
      </w:r>
      <w:r>
        <w:rPr>
          <w:rFonts w:ascii="仿宋" w:hAnsi="仿宋" w:eastAsia="仿宋" w:cs="仿宋"/>
          <w:sz w:val="32"/>
          <w:szCs w:val="32"/>
        </w:rPr>
        <w:t>794.66</w:t>
      </w:r>
      <w:r>
        <w:rPr>
          <w:rFonts w:hint="eastAsia" w:ascii="仿宋" w:hAnsi="仿宋" w:eastAsia="仿宋" w:cs="仿宋"/>
          <w:sz w:val="32"/>
          <w:szCs w:val="32"/>
        </w:rPr>
        <w:t>万元，包括人员经费和日常公用经费；项目支出</w:t>
      </w:r>
      <w:r>
        <w:rPr>
          <w:rFonts w:ascii="仿宋" w:hAnsi="仿宋" w:eastAsia="仿宋" w:cs="仿宋"/>
          <w:sz w:val="32"/>
          <w:szCs w:val="32"/>
        </w:rPr>
        <w:t>214.03</w:t>
      </w:r>
      <w:r>
        <w:rPr>
          <w:rFonts w:hint="eastAsia" w:ascii="仿宋" w:hAnsi="仿宋" w:eastAsia="仿宋" w:cs="仿宋"/>
          <w:sz w:val="32"/>
          <w:szCs w:val="32"/>
        </w:rPr>
        <w:t>万元，包括本级支出，主要为农村综合改革、节能环保、农林水等支出。</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年预算收支安排</w:t>
      </w:r>
      <w:r>
        <w:rPr>
          <w:rFonts w:ascii="仿宋" w:hAnsi="仿宋" w:eastAsia="仿宋" w:cs="仿宋"/>
          <w:sz w:val="32"/>
          <w:szCs w:val="32"/>
        </w:rPr>
        <w:t>1008.69</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年预算增加</w:t>
      </w:r>
      <w:r>
        <w:rPr>
          <w:rFonts w:ascii="仿宋" w:hAnsi="仿宋" w:eastAsia="仿宋" w:cs="仿宋"/>
          <w:sz w:val="32"/>
          <w:szCs w:val="32"/>
        </w:rPr>
        <w:t>60.43</w:t>
      </w:r>
      <w:r>
        <w:rPr>
          <w:rFonts w:hint="eastAsia" w:ascii="仿宋" w:hAnsi="仿宋" w:eastAsia="仿宋" w:cs="仿宋"/>
          <w:sz w:val="32"/>
          <w:szCs w:val="32"/>
        </w:rPr>
        <w:t>万元，其中：基本支出增加</w:t>
      </w:r>
      <w:r>
        <w:rPr>
          <w:rFonts w:ascii="仿宋" w:hAnsi="仿宋" w:eastAsia="仿宋" w:cs="仿宋"/>
          <w:sz w:val="32"/>
          <w:szCs w:val="32"/>
        </w:rPr>
        <w:t>194.44</w:t>
      </w:r>
      <w:r>
        <w:rPr>
          <w:rFonts w:hint="eastAsia" w:ascii="仿宋" w:hAnsi="仿宋" w:eastAsia="仿宋" w:cs="仿宋"/>
          <w:sz w:val="32"/>
          <w:szCs w:val="32"/>
        </w:rPr>
        <w:t>万元，主要为增加人员经费支出；项目支出减少</w:t>
      </w:r>
      <w:r>
        <w:rPr>
          <w:rFonts w:ascii="仿宋" w:hAnsi="仿宋" w:eastAsia="仿宋" w:cs="仿宋"/>
          <w:sz w:val="32"/>
          <w:szCs w:val="32"/>
        </w:rPr>
        <w:t>134.01</w:t>
      </w:r>
      <w:r>
        <w:rPr>
          <w:rFonts w:hint="eastAsia" w:ascii="仿宋" w:hAnsi="仿宋" w:eastAsia="仿宋" w:cs="仿宋"/>
          <w:sz w:val="32"/>
          <w:szCs w:val="32"/>
        </w:rPr>
        <w:t>万元，主要为维稳、环保、村级运行项目支出。</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80" w:lineRule="exact"/>
        <w:ind w:left="198" w:firstLine="640" w:firstLineChars="200"/>
        <w:jc w:val="left"/>
        <w:rPr>
          <w:rFonts w:ascii="仿宋" w:hAnsi="仿宋" w:eastAsia="仿宋" w:cs="仿宋"/>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69.74</w:t>
      </w:r>
      <w:r>
        <w:rPr>
          <w:rFonts w:hint="eastAsia" w:ascii="仿宋" w:hAnsi="仿宋" w:eastAsia="仿宋" w:cs="仿宋"/>
          <w:sz w:val="32"/>
          <w:szCs w:val="32"/>
        </w:rPr>
        <w:t>万元，主要用于大厂镇人民政府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80" w:lineRule="exact"/>
        <w:ind w:left="198" w:firstLine="640" w:firstLineChars="20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年，我镇“三公”经费预算安排</w:t>
      </w:r>
      <w:r>
        <w:rPr>
          <w:rFonts w:ascii="仿宋" w:hAnsi="仿宋" w:eastAsia="仿宋" w:cs="仿宋"/>
          <w:sz w:val="32"/>
          <w:szCs w:val="32"/>
        </w:rPr>
        <w:t>16.61</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万元；公务用车购置及运行维费</w:t>
      </w:r>
      <w:r>
        <w:rPr>
          <w:rFonts w:ascii="仿宋" w:hAnsi="仿宋" w:eastAsia="仿宋" w:cs="仿宋"/>
          <w:sz w:val="32"/>
          <w:szCs w:val="32"/>
        </w:rPr>
        <w:t>15.8</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15.8</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0.81</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年增加</w:t>
      </w:r>
      <w:r>
        <w:rPr>
          <w:rFonts w:ascii="仿宋" w:hAnsi="仿宋" w:eastAsia="仿宋" w:cs="仿宋"/>
          <w:sz w:val="32"/>
          <w:szCs w:val="32"/>
        </w:rPr>
        <w:t>3.29</w:t>
      </w:r>
      <w:r>
        <w:rPr>
          <w:rFonts w:hint="eastAsia" w:ascii="仿宋" w:hAnsi="仿宋" w:eastAsia="仿宋" w:cs="仿宋"/>
          <w:sz w:val="32"/>
          <w:szCs w:val="32"/>
        </w:rPr>
        <w:t>万元，主要原因是乡镇换届选举、维稳、环保等用车费用增加。</w:t>
      </w:r>
    </w:p>
    <w:p>
      <w:pPr>
        <w:spacing w:line="580" w:lineRule="exact"/>
        <w:ind w:firstLine="800" w:firstLineChars="250"/>
        <w:rPr>
          <w:rFonts w:ascii="黑体" w:hAnsi="黑体" w:eastAsia="黑体"/>
          <w:sz w:val="32"/>
          <w:szCs w:val="32"/>
        </w:rPr>
      </w:pPr>
      <w:r>
        <w:rPr>
          <w:rFonts w:hint="eastAsia" w:ascii="黑体" w:hAnsi="黑体" w:eastAsia="黑体"/>
          <w:sz w:val="32"/>
          <w:szCs w:val="32"/>
        </w:rPr>
        <w:t>五、绩效预算信息</w:t>
      </w:r>
    </w:p>
    <w:p>
      <w:pPr>
        <w:spacing w:line="580" w:lineRule="exact"/>
        <w:ind w:firstLine="803" w:firstLineChars="250"/>
        <w:jc w:val="left"/>
        <w:rPr>
          <w:rFonts w:ascii="楷体" w:hAnsi="楷体" w:eastAsia="楷体"/>
          <w:b/>
          <w:sz w:val="32"/>
          <w:szCs w:val="32"/>
        </w:rPr>
      </w:pPr>
      <w:bookmarkStart w:id="0" w:name="_Toc471398463"/>
      <w:r>
        <w:rPr>
          <w:rFonts w:hint="eastAsia" w:ascii="楷体" w:hAnsi="楷体" w:eastAsia="楷体"/>
          <w:b/>
          <w:sz w:val="32"/>
          <w:szCs w:val="32"/>
        </w:rPr>
        <w:t>总体绩效目标：</w:t>
      </w:r>
    </w:p>
    <w:p>
      <w:pPr>
        <w:spacing w:line="560" w:lineRule="exact"/>
        <w:ind w:firstLine="720" w:firstLineChars="225"/>
        <w:rPr>
          <w:rFonts w:ascii="仿宋" w:hAnsi="仿宋" w:eastAsia="仿宋"/>
          <w:sz w:val="32"/>
          <w:szCs w:val="32"/>
        </w:rPr>
      </w:pP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spacing w:line="580" w:lineRule="exact"/>
        <w:ind w:firstLine="643" w:firstLineChars="200"/>
        <w:jc w:val="left"/>
        <w:outlineLvl w:val="0"/>
        <w:rPr>
          <w:rFonts w:ascii="楷体_GB2312" w:hAnsi="Times New Roman" w:eastAsia="楷体_GB2312"/>
          <w:b/>
          <w:sz w:val="32"/>
          <w:szCs w:val="24"/>
        </w:rPr>
      </w:pPr>
      <w:r>
        <w:rPr>
          <w:rFonts w:hint="eastAsia" w:ascii="楷体_GB2312" w:hAnsi="黑体" w:eastAsia="楷体_GB2312"/>
          <w:b/>
          <w:sz w:val="32"/>
          <w:szCs w:val="32"/>
        </w:rPr>
        <w:t>部门职责及工作活动绩效目标指标：</w:t>
      </w:r>
    </w:p>
    <w:bookmarkEnd w:id="0"/>
    <w:p>
      <w:pPr>
        <w:jc w:val="center"/>
        <w:outlineLvl w:val="0"/>
        <w:rPr>
          <w:rFonts w:ascii="宋体"/>
          <w:b/>
          <w:sz w:val="32"/>
          <w:szCs w:val="24"/>
        </w:rPr>
      </w:pPr>
      <w:r>
        <w:rPr>
          <w:rFonts w:hint="eastAsia" w:ascii="宋体" w:hAnsi="宋体"/>
          <w:b/>
          <w:sz w:val="32"/>
          <w:szCs w:val="24"/>
        </w:rPr>
        <w:t>部门职责</w:t>
      </w:r>
      <w:r>
        <w:rPr>
          <w:rFonts w:ascii="宋体"/>
          <w:b/>
          <w:sz w:val="32"/>
          <w:szCs w:val="24"/>
        </w:rPr>
        <w:t>-</w:t>
      </w:r>
      <w:r>
        <w:rPr>
          <w:rFonts w:hint="eastAsia" w:ascii="宋体" w:hAnsi="宋体"/>
          <w:b/>
          <w:sz w:val="32"/>
          <w:szCs w:val="24"/>
        </w:rPr>
        <w:t>工作活动绩效目标</w:t>
      </w:r>
    </w:p>
    <w:p>
      <w:pPr>
        <w:jc w:val="left"/>
        <w:outlineLvl w:val="0"/>
        <w:rPr>
          <w:rFonts w:ascii="仿宋" w:hAnsi="仿宋" w:eastAsia="仿宋"/>
          <w:b/>
          <w:szCs w:val="21"/>
        </w:rPr>
      </w:pPr>
      <w:r>
        <w:rPr>
          <w:rFonts w:ascii="仿宋" w:hAnsi="仿宋" w:eastAsia="仿宋"/>
          <w:b/>
          <w:szCs w:val="21"/>
        </w:rPr>
        <w:t>802</w:t>
      </w:r>
      <w:r>
        <w:rPr>
          <w:rFonts w:hint="eastAsia" w:ascii="仿宋" w:hAnsi="仿宋" w:eastAsia="仿宋"/>
          <w:b/>
          <w:szCs w:val="21"/>
        </w:rPr>
        <w:t>大厂回族自治县大厂镇人民政府</w:t>
      </w:r>
      <w:r>
        <w:rPr>
          <w:rFonts w:ascii="仿宋" w:hAnsi="仿宋" w:eastAsia="仿宋"/>
          <w:b/>
          <w:szCs w:val="21"/>
        </w:rPr>
        <w:t xml:space="preserve">                                                                                </w:t>
      </w:r>
      <w:r>
        <w:rPr>
          <w:rFonts w:hint="eastAsia" w:ascii="仿宋" w:hAnsi="仿宋" w:eastAsia="仿宋"/>
          <w:b/>
          <w:szCs w:val="21"/>
        </w:rPr>
        <w:t>单位：万元</w:t>
      </w:r>
    </w:p>
    <w:tbl>
      <w:tblPr>
        <w:tblStyle w:val="6"/>
        <w:tblW w:w="139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73"/>
        <w:gridCol w:w="737"/>
        <w:gridCol w:w="737"/>
        <w:gridCol w:w="701"/>
        <w:gridCol w:w="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6" w:type="dxa"/>
          <w:trHeight w:val="227" w:hRule="atLeast"/>
          <w:tblHeader/>
          <w:jc w:val="center"/>
        </w:trPr>
        <w:tc>
          <w:tcPr>
            <w:tcW w:w="2341" w:type="dxa"/>
            <w:vMerge w:val="restart"/>
            <w:vAlign w:val="center"/>
          </w:tcPr>
          <w:p>
            <w:pPr>
              <w:spacing w:line="300" w:lineRule="exact"/>
              <w:jc w:val="center"/>
              <w:rPr>
                <w:rFonts w:ascii="仿宋" w:hAnsi="仿宋" w:eastAsia="仿宋"/>
                <w:b/>
              </w:rPr>
            </w:pPr>
            <w:r>
              <w:rPr>
                <w:rFonts w:hint="eastAsia" w:ascii="仿宋" w:hAnsi="仿宋" w:eastAsia="仿宋"/>
                <w:b/>
              </w:rPr>
              <w:t>职责活动</w:t>
            </w:r>
          </w:p>
        </w:tc>
        <w:tc>
          <w:tcPr>
            <w:tcW w:w="1276" w:type="dxa"/>
            <w:vMerge w:val="restart"/>
            <w:vAlign w:val="center"/>
          </w:tcPr>
          <w:p>
            <w:pPr>
              <w:spacing w:line="300" w:lineRule="exact"/>
              <w:jc w:val="center"/>
              <w:rPr>
                <w:rFonts w:ascii="仿宋" w:hAnsi="仿宋" w:eastAsia="仿宋"/>
                <w:b/>
              </w:rPr>
            </w:pPr>
            <w:r>
              <w:rPr>
                <w:rFonts w:hint="eastAsia" w:ascii="仿宋" w:hAnsi="仿宋" w:eastAsia="仿宋"/>
                <w:b/>
              </w:rPr>
              <w:t>年度预算数</w:t>
            </w:r>
          </w:p>
        </w:tc>
        <w:tc>
          <w:tcPr>
            <w:tcW w:w="2976" w:type="dxa"/>
            <w:vMerge w:val="restart"/>
            <w:vAlign w:val="center"/>
          </w:tcPr>
          <w:p>
            <w:pPr>
              <w:spacing w:line="300" w:lineRule="exact"/>
              <w:jc w:val="center"/>
              <w:rPr>
                <w:rFonts w:ascii="仿宋" w:hAnsi="仿宋" w:eastAsia="仿宋"/>
                <w:b/>
              </w:rPr>
            </w:pPr>
            <w:r>
              <w:rPr>
                <w:rFonts w:hint="eastAsia" w:ascii="仿宋" w:hAnsi="仿宋" w:eastAsia="仿宋"/>
                <w:b/>
              </w:rPr>
              <w:t>内容描述</w:t>
            </w:r>
          </w:p>
        </w:tc>
        <w:tc>
          <w:tcPr>
            <w:tcW w:w="2976" w:type="dxa"/>
            <w:vMerge w:val="restart"/>
            <w:vAlign w:val="center"/>
          </w:tcPr>
          <w:p>
            <w:pPr>
              <w:spacing w:line="300" w:lineRule="exact"/>
              <w:jc w:val="center"/>
              <w:rPr>
                <w:rFonts w:ascii="仿宋" w:hAnsi="仿宋" w:eastAsia="仿宋"/>
                <w:b/>
              </w:rPr>
            </w:pPr>
            <w:r>
              <w:rPr>
                <w:rFonts w:hint="eastAsia" w:ascii="仿宋" w:hAnsi="仿宋" w:eastAsia="仿宋"/>
                <w:b/>
              </w:rPr>
              <w:t>绩效目标</w:t>
            </w:r>
          </w:p>
        </w:tc>
        <w:tc>
          <w:tcPr>
            <w:tcW w:w="1417" w:type="dxa"/>
            <w:vMerge w:val="restart"/>
            <w:vAlign w:val="center"/>
          </w:tcPr>
          <w:p>
            <w:pPr>
              <w:spacing w:line="300" w:lineRule="exact"/>
              <w:jc w:val="center"/>
              <w:rPr>
                <w:rFonts w:ascii="仿宋" w:hAnsi="仿宋" w:eastAsia="仿宋"/>
                <w:b/>
              </w:rPr>
            </w:pPr>
            <w:r>
              <w:rPr>
                <w:rFonts w:hint="eastAsia" w:ascii="仿宋" w:hAnsi="仿宋" w:eastAsia="仿宋"/>
                <w:b/>
              </w:rPr>
              <w:t>绩效指标</w:t>
            </w:r>
          </w:p>
        </w:tc>
        <w:tc>
          <w:tcPr>
            <w:tcW w:w="2948" w:type="dxa"/>
            <w:gridSpan w:val="4"/>
            <w:vAlign w:val="center"/>
          </w:tcPr>
          <w:p>
            <w:pPr>
              <w:spacing w:line="300" w:lineRule="exact"/>
              <w:jc w:val="center"/>
              <w:rPr>
                <w:rFonts w:ascii="仿宋" w:hAnsi="仿宋" w:eastAsia="仿宋"/>
                <w:b/>
              </w:rPr>
            </w:pPr>
            <w:r>
              <w:rPr>
                <w:rFonts w:hint="eastAsia" w:ascii="仿宋" w:hAns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73"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gridSpan w:val="2"/>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文化艺术管理</w:t>
            </w:r>
          </w:p>
        </w:tc>
        <w:tc>
          <w:tcPr>
            <w:tcW w:w="1276" w:type="dxa"/>
            <w:vAlign w:val="center"/>
          </w:tcPr>
          <w:p>
            <w:pPr>
              <w:spacing w:line="300" w:lineRule="exact"/>
              <w:jc w:val="left"/>
              <w:rPr>
                <w:rFonts w:ascii="仿宋" w:hAnsi="仿宋" w:eastAsia="仿宋"/>
              </w:rPr>
            </w:pPr>
            <w:r>
              <w:rPr>
                <w:rFonts w:ascii="仿宋" w:hAnsi="仿宋" w:eastAsia="仿宋"/>
              </w:rPr>
              <w:t>2.50</w:t>
            </w:r>
          </w:p>
        </w:tc>
        <w:tc>
          <w:tcPr>
            <w:tcW w:w="2976" w:type="dxa"/>
            <w:vAlign w:val="center"/>
          </w:tcPr>
          <w:p>
            <w:pPr>
              <w:spacing w:line="300" w:lineRule="exact"/>
              <w:jc w:val="left"/>
              <w:rPr>
                <w:rFonts w:ascii="仿宋" w:hAnsi="仿宋" w:eastAsia="仿宋"/>
              </w:rPr>
            </w:pPr>
            <w:r>
              <w:rPr>
                <w:rFonts w:hint="eastAsia" w:ascii="仿宋" w:hAnsi="仿宋" w:eastAsia="仿宋"/>
              </w:rPr>
              <w:t>管理和指导全镇文化建设，推进文化发展环境能力建设，提供公共文化服务、文化艺术资源建设和文化艺术生产。</w:t>
            </w:r>
          </w:p>
        </w:tc>
        <w:tc>
          <w:tcPr>
            <w:tcW w:w="2976" w:type="dxa"/>
            <w:vAlign w:val="center"/>
          </w:tcPr>
          <w:p>
            <w:pPr>
              <w:spacing w:line="300" w:lineRule="exact"/>
              <w:jc w:val="left"/>
              <w:rPr>
                <w:rFonts w:ascii="仿宋" w:hAnsi="仿宋" w:eastAsia="仿宋"/>
              </w:rPr>
            </w:pPr>
            <w:r>
              <w:rPr>
                <w:rFonts w:hint="eastAsia" w:ascii="仿宋" w:hAnsi="仿宋" w:eastAsia="仿宋"/>
              </w:rPr>
              <w:t>文化发展环境健康向上，文化发展能力不断增强，文化艺术资源丰富，公共文化服务和文化艺术生产水平不断提高，河北文化影响力日益扩大。</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rPr>
            </w:pPr>
            <w:r>
              <w:rPr>
                <w:rFonts w:hint="eastAsia" w:ascii="仿宋" w:hAnsi="仿宋" w:eastAsia="仿宋"/>
                <w:b/>
              </w:rPr>
              <w:t>　　公共文化服务</w:t>
            </w:r>
          </w:p>
        </w:tc>
        <w:tc>
          <w:tcPr>
            <w:tcW w:w="1276" w:type="dxa"/>
            <w:vMerge w:val="restart"/>
            <w:vAlign w:val="center"/>
          </w:tcPr>
          <w:p>
            <w:pPr>
              <w:spacing w:line="300" w:lineRule="exact"/>
              <w:jc w:val="left"/>
              <w:rPr>
                <w:rFonts w:ascii="仿宋" w:hAnsi="仿宋" w:eastAsia="仿宋"/>
              </w:rPr>
            </w:pPr>
            <w:r>
              <w:rPr>
                <w:rFonts w:ascii="仿宋" w:hAnsi="仿宋" w:eastAsia="仿宋"/>
              </w:rPr>
              <w:t>2.50</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推动全镇各级文化服务机构，建立公共文化资源共享机制，健全公共文化服务网络。</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通过完成镇政务信息公开工作的指导监督工作，使全镇政府信息公开业务队伍素质不断提高，业务水平进一步提升；政府政务信息公开范围不断扩大，公开内容得到进一步细化。</w:t>
            </w:r>
          </w:p>
        </w:tc>
        <w:tc>
          <w:tcPr>
            <w:tcW w:w="1417" w:type="dxa"/>
            <w:vAlign w:val="center"/>
          </w:tcPr>
          <w:p>
            <w:pPr>
              <w:spacing w:line="300" w:lineRule="exact"/>
              <w:jc w:val="left"/>
              <w:rPr>
                <w:rFonts w:ascii="仿宋" w:hAnsi="仿宋" w:eastAsia="仿宋"/>
              </w:rPr>
            </w:pPr>
            <w:r>
              <w:rPr>
                <w:rFonts w:hint="eastAsia" w:ascii="仿宋" w:hAnsi="仿宋" w:eastAsia="仿宋"/>
              </w:rPr>
              <w:t>文化设施、机构、队伍健全率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推广优良种公羊和优质奶牛、肉牛冻精以及种猪常温精液数量</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资金使用规范率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居民健康档案总体建档</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非税收入政策管理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负责政府非税收入和政府性基金管理，按规定管理行政事业性收费；管理财政票据。</w:t>
            </w:r>
          </w:p>
        </w:tc>
        <w:tc>
          <w:tcPr>
            <w:tcW w:w="2976" w:type="dxa"/>
            <w:vAlign w:val="center"/>
          </w:tcPr>
          <w:p>
            <w:pPr>
              <w:spacing w:line="300" w:lineRule="exact"/>
              <w:jc w:val="left"/>
              <w:rPr>
                <w:rFonts w:ascii="仿宋" w:hAnsi="仿宋" w:eastAsia="仿宋"/>
              </w:rPr>
            </w:pPr>
            <w:r>
              <w:rPr>
                <w:rFonts w:hint="eastAsia" w:ascii="仿宋" w:hAnsi="仿宋" w:eastAsia="仿宋"/>
              </w:rPr>
              <w:t>保证应收尽收，严格票据领消制度</w:t>
            </w:r>
          </w:p>
        </w:tc>
        <w:tc>
          <w:tcPr>
            <w:tcW w:w="1417" w:type="dxa"/>
            <w:vAlign w:val="center"/>
          </w:tcPr>
          <w:p>
            <w:pPr>
              <w:spacing w:line="300" w:lineRule="exact"/>
              <w:jc w:val="left"/>
              <w:rPr>
                <w:rFonts w:ascii="仿宋" w:hAnsi="仿宋" w:eastAsia="仿宋"/>
              </w:rPr>
            </w:pPr>
            <w:r>
              <w:rPr>
                <w:rFonts w:hint="eastAsia" w:ascii="仿宋" w:hAnsi="仿宋" w:eastAsia="仿宋"/>
              </w:rPr>
              <w:t>缴存率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党风廉政建设</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组织协调全镇党风廉政建设和反腐败宣传、教育、课题研究、法规起草修订等工作；承担镇委惩治和预防腐败体系领导小组办公室和镇预防腐败局的日常工作。</w:t>
            </w:r>
          </w:p>
        </w:tc>
        <w:tc>
          <w:tcPr>
            <w:tcW w:w="2976" w:type="dxa"/>
            <w:vAlign w:val="center"/>
          </w:tcPr>
          <w:p>
            <w:pPr>
              <w:spacing w:line="300" w:lineRule="exact"/>
              <w:jc w:val="left"/>
              <w:rPr>
                <w:rFonts w:ascii="仿宋" w:hAnsi="仿宋" w:eastAsia="仿宋"/>
              </w:rPr>
            </w:pPr>
            <w:r>
              <w:rPr>
                <w:rFonts w:hint="eastAsia" w:ascii="仿宋" w:hAnsi="仿宋" w:eastAsia="仿宋"/>
              </w:rPr>
              <w:t>积极发挥职能作用，加强党风廉政建设，营造风清气正、干事创业的工作氛围。</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rPr>
            </w:pPr>
            <w:r>
              <w:rPr>
                <w:rFonts w:hint="eastAsia" w:ascii="仿宋" w:hAnsi="仿宋" w:eastAsia="仿宋"/>
                <w:b/>
              </w:rPr>
              <w:t>　　党风廉政建设</w:t>
            </w:r>
          </w:p>
        </w:tc>
        <w:tc>
          <w:tcPr>
            <w:tcW w:w="1276" w:type="dxa"/>
            <w:vMerge w:val="restart"/>
            <w:vAlign w:val="center"/>
          </w:tcPr>
          <w:p>
            <w:pPr>
              <w:spacing w:line="300" w:lineRule="exact"/>
              <w:jc w:val="left"/>
              <w:rPr>
                <w:rFonts w:ascii="仿宋" w:hAnsi="仿宋" w:eastAsia="仿宋"/>
              </w:rPr>
            </w:pP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组织协调全镇党风廉政建设和反腐败宣传教育工作，开展对党员、公务员的廉洁自律教育。</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维护好镇政府应急平台，确保全镇应急工作顺利完成；各类突发事件得到及时妥善处置</w:t>
            </w:r>
          </w:p>
        </w:tc>
        <w:tc>
          <w:tcPr>
            <w:tcW w:w="1417" w:type="dxa"/>
            <w:vAlign w:val="center"/>
          </w:tcPr>
          <w:p>
            <w:pPr>
              <w:spacing w:line="300" w:lineRule="exact"/>
              <w:jc w:val="left"/>
              <w:rPr>
                <w:rFonts w:ascii="仿宋" w:hAnsi="仿宋" w:eastAsia="仿宋"/>
              </w:rPr>
            </w:pPr>
            <w:r>
              <w:rPr>
                <w:rFonts w:hint="eastAsia" w:ascii="仿宋" w:hAnsi="仿宋" w:eastAsia="仿宋"/>
              </w:rPr>
              <w:t>教育活动落实率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应急平台互联互通率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医疗保障</w:t>
            </w:r>
          </w:p>
        </w:tc>
        <w:tc>
          <w:tcPr>
            <w:tcW w:w="1276" w:type="dxa"/>
            <w:vAlign w:val="center"/>
          </w:tcPr>
          <w:p>
            <w:pPr>
              <w:spacing w:line="300" w:lineRule="exact"/>
              <w:jc w:val="left"/>
              <w:rPr>
                <w:rFonts w:ascii="仿宋" w:hAnsi="仿宋" w:eastAsia="仿宋"/>
              </w:rPr>
            </w:pPr>
            <w:r>
              <w:rPr>
                <w:rFonts w:ascii="仿宋" w:hAnsi="仿宋" w:eastAsia="仿宋"/>
              </w:rPr>
              <w:t>5.86</w:t>
            </w:r>
          </w:p>
        </w:tc>
        <w:tc>
          <w:tcPr>
            <w:tcW w:w="2976" w:type="dxa"/>
            <w:vAlign w:val="center"/>
          </w:tcPr>
          <w:p>
            <w:pPr>
              <w:spacing w:line="300" w:lineRule="exact"/>
              <w:jc w:val="left"/>
              <w:rPr>
                <w:rFonts w:ascii="仿宋" w:hAnsi="仿宋" w:eastAsia="仿宋"/>
              </w:rPr>
            </w:pPr>
            <w:r>
              <w:rPr>
                <w:rFonts w:hint="eastAsia" w:ascii="仿宋" w:hAnsi="仿宋" w:eastAsia="仿宋"/>
              </w:rPr>
              <w:t>通过建立和实施新型农村合作医疗、疾病应急救助、城乡居民大病保险以及公费医疗等制度，保障人民群众公平享有所需医疗服务权益。</w:t>
            </w:r>
          </w:p>
        </w:tc>
        <w:tc>
          <w:tcPr>
            <w:tcW w:w="2976" w:type="dxa"/>
            <w:vAlign w:val="center"/>
          </w:tcPr>
          <w:p>
            <w:pPr>
              <w:spacing w:line="300" w:lineRule="exact"/>
              <w:jc w:val="left"/>
              <w:rPr>
                <w:rFonts w:ascii="仿宋" w:hAnsi="仿宋" w:eastAsia="仿宋"/>
              </w:rPr>
            </w:pPr>
            <w:r>
              <w:rPr>
                <w:rFonts w:hint="eastAsia" w:ascii="仿宋" w:hAnsi="仿宋" w:eastAsia="仿宋"/>
              </w:rPr>
              <w:t>扩大各项保险的覆盖面，及时足额落实社会保险待遇。</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rPr>
            </w:pPr>
            <w:r>
              <w:rPr>
                <w:rFonts w:hint="eastAsia" w:ascii="仿宋" w:hAnsi="仿宋" w:eastAsia="仿宋"/>
                <w:b/>
              </w:rPr>
              <w:t>　　新型农村合作医疗及城乡居民大病保险</w:t>
            </w:r>
          </w:p>
        </w:tc>
        <w:tc>
          <w:tcPr>
            <w:tcW w:w="1276" w:type="dxa"/>
            <w:vMerge w:val="restart"/>
            <w:vAlign w:val="center"/>
          </w:tcPr>
          <w:p>
            <w:pPr>
              <w:spacing w:line="300" w:lineRule="exact"/>
              <w:jc w:val="left"/>
              <w:rPr>
                <w:rFonts w:ascii="仿宋" w:hAnsi="仿宋" w:eastAsia="仿宋"/>
              </w:rPr>
            </w:pPr>
            <w:r>
              <w:rPr>
                <w:rFonts w:ascii="仿宋" w:hAnsi="仿宋" w:eastAsia="仿宋"/>
              </w:rPr>
              <w:t>5.86</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组织、引导、支持，农民自愿参加新型农村合作医疗，提高农村居民的医疗保障水平；建立大病保险制度；对城乡居民因患大病发生的高额医疗费用给予报销。</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巡视监督常态化、全覆盖。</w:t>
            </w:r>
          </w:p>
        </w:tc>
        <w:tc>
          <w:tcPr>
            <w:tcW w:w="1417" w:type="dxa"/>
            <w:vAlign w:val="center"/>
          </w:tcPr>
          <w:p>
            <w:pPr>
              <w:spacing w:line="300" w:lineRule="exact"/>
              <w:jc w:val="left"/>
              <w:rPr>
                <w:rFonts w:ascii="仿宋" w:hAnsi="仿宋" w:eastAsia="仿宋"/>
              </w:rPr>
            </w:pPr>
            <w:r>
              <w:rPr>
                <w:rFonts w:hint="eastAsia" w:ascii="仿宋" w:hAnsi="仿宋" w:eastAsia="仿宋"/>
              </w:rPr>
              <w:t>新农合参合率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5"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巡视工作完成率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农业科技支撑和公共服务</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提高农业机械化水平，建立健全农业科技服务和防灾减灾体系，推动农业生产向现代农业发展。</w:t>
            </w:r>
          </w:p>
        </w:tc>
        <w:tc>
          <w:tcPr>
            <w:tcW w:w="2976" w:type="dxa"/>
            <w:vAlign w:val="center"/>
          </w:tcPr>
          <w:p>
            <w:pPr>
              <w:spacing w:line="300" w:lineRule="exact"/>
              <w:jc w:val="left"/>
              <w:rPr>
                <w:rFonts w:ascii="仿宋" w:hAnsi="仿宋" w:eastAsia="仿宋"/>
              </w:rPr>
            </w:pPr>
            <w:r>
              <w:rPr>
                <w:rFonts w:hint="eastAsia" w:ascii="仿宋" w:hAnsi="仿宋" w:eastAsia="仿宋"/>
              </w:rPr>
              <w:t>促进农业现代化，提高农业劳动生产率，增加农民收入。</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实施农机购置补贴</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对农民和种植大户、农机合作组织购置农业机械进行补贴。</w:t>
            </w:r>
          </w:p>
        </w:tc>
        <w:tc>
          <w:tcPr>
            <w:tcW w:w="2976" w:type="dxa"/>
            <w:vAlign w:val="center"/>
          </w:tcPr>
          <w:p>
            <w:pPr>
              <w:spacing w:line="300" w:lineRule="exact"/>
              <w:jc w:val="left"/>
              <w:rPr>
                <w:rFonts w:ascii="仿宋" w:hAnsi="仿宋" w:eastAsia="仿宋"/>
              </w:rPr>
            </w:pPr>
            <w:r>
              <w:rPr>
                <w:rFonts w:hint="eastAsia" w:ascii="仿宋" w:hAnsi="仿宋" w:eastAsia="仿宋"/>
              </w:rPr>
              <w:t>提高农业机械化水平</w:t>
            </w:r>
          </w:p>
        </w:tc>
        <w:tc>
          <w:tcPr>
            <w:tcW w:w="1417" w:type="dxa"/>
            <w:vAlign w:val="center"/>
          </w:tcPr>
          <w:p>
            <w:pPr>
              <w:spacing w:line="300" w:lineRule="exact"/>
              <w:jc w:val="left"/>
              <w:rPr>
                <w:rFonts w:ascii="仿宋" w:hAnsi="仿宋" w:eastAsia="仿宋"/>
              </w:rPr>
            </w:pPr>
            <w:r>
              <w:rPr>
                <w:rFonts w:hint="eastAsia" w:ascii="仿宋" w:hAnsi="仿宋" w:eastAsia="仿宋"/>
              </w:rPr>
              <w:t>玉米机收率达到</w:t>
            </w:r>
            <w:r>
              <w:rPr>
                <w:rFonts w:ascii="仿宋" w:hAnsi="仿宋" w:eastAsia="仿宋"/>
              </w:rPr>
              <w:t xml:space="preserve"> %</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综合事务管理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加强机关事务性管理，开展机关自身能力建设。</w:t>
            </w:r>
          </w:p>
        </w:tc>
        <w:tc>
          <w:tcPr>
            <w:tcW w:w="2976" w:type="dxa"/>
            <w:vAlign w:val="center"/>
          </w:tcPr>
          <w:p>
            <w:pPr>
              <w:spacing w:line="300" w:lineRule="exact"/>
              <w:jc w:val="left"/>
              <w:rPr>
                <w:rFonts w:ascii="仿宋" w:hAnsi="仿宋" w:eastAsia="仿宋"/>
              </w:rPr>
            </w:pPr>
            <w:r>
              <w:rPr>
                <w:rFonts w:hint="eastAsia" w:ascii="仿宋" w:hAnsi="仿宋" w:eastAsia="仿宋"/>
              </w:rPr>
              <w:t>确保机关工作正常运行</w:t>
            </w:r>
          </w:p>
        </w:tc>
        <w:tc>
          <w:tcPr>
            <w:tcW w:w="1417" w:type="dxa"/>
            <w:vAlign w:val="center"/>
          </w:tcPr>
          <w:p>
            <w:pPr>
              <w:spacing w:line="300" w:lineRule="exact"/>
              <w:jc w:val="left"/>
              <w:rPr>
                <w:rFonts w:ascii="仿宋" w:hAnsi="仿宋" w:eastAsia="仿宋"/>
              </w:rPr>
            </w:pPr>
            <w:r>
              <w:rPr>
                <w:rFonts w:hint="eastAsia" w:ascii="仿宋" w:hAnsi="仿宋" w:eastAsia="仿宋"/>
              </w:rPr>
              <w:t>工作任务完成率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农产品质量安全体系建设</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指导农业检验检测体系建设和机构考核，依法实施符合安全标准的农产品认证和监督管理。组织开展农产品质量安全的监督检查。</w:t>
            </w:r>
          </w:p>
        </w:tc>
        <w:tc>
          <w:tcPr>
            <w:tcW w:w="2976" w:type="dxa"/>
            <w:vAlign w:val="center"/>
          </w:tcPr>
          <w:p>
            <w:pPr>
              <w:spacing w:line="300" w:lineRule="exact"/>
              <w:jc w:val="left"/>
              <w:rPr>
                <w:rFonts w:ascii="仿宋" w:hAnsi="仿宋" w:eastAsia="仿宋"/>
              </w:rPr>
            </w:pPr>
            <w:r>
              <w:rPr>
                <w:rFonts w:hint="eastAsia" w:ascii="仿宋" w:hAnsi="仿宋" w:eastAsia="仿宋"/>
              </w:rPr>
              <w:t>加强农产品及农用化肥、药品监督检测，保障农产品质量，确保食品安全</w:t>
            </w:r>
          </w:p>
        </w:tc>
        <w:tc>
          <w:tcPr>
            <w:tcW w:w="1417" w:type="dxa"/>
            <w:vAlign w:val="center"/>
          </w:tcPr>
          <w:p>
            <w:pPr>
              <w:spacing w:line="300" w:lineRule="exact"/>
              <w:jc w:val="left"/>
              <w:rPr>
                <w:rFonts w:ascii="仿宋" w:hAnsi="仿宋" w:eastAsia="仿宋"/>
              </w:rPr>
            </w:pPr>
            <w:r>
              <w:rPr>
                <w:rFonts w:hint="eastAsia" w:ascii="仿宋" w:hAnsi="仿宋" w:eastAsia="仿宋"/>
              </w:rPr>
              <w:t>农产品及农用物资质量监督检测完成率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预算管理</w:t>
            </w:r>
          </w:p>
        </w:tc>
        <w:tc>
          <w:tcPr>
            <w:tcW w:w="1276" w:type="dxa"/>
            <w:vAlign w:val="center"/>
          </w:tcPr>
          <w:p>
            <w:pPr>
              <w:spacing w:line="300" w:lineRule="exact"/>
              <w:jc w:val="left"/>
              <w:rPr>
                <w:rFonts w:ascii="仿宋" w:hAnsi="仿宋" w:eastAsia="仿宋"/>
              </w:rPr>
            </w:pPr>
            <w:r>
              <w:rPr>
                <w:rFonts w:ascii="仿宋" w:hAnsi="仿宋" w:eastAsia="仿宋"/>
              </w:rPr>
              <w:t>5.00</w:t>
            </w:r>
          </w:p>
        </w:tc>
        <w:tc>
          <w:tcPr>
            <w:tcW w:w="2976" w:type="dxa"/>
            <w:vAlign w:val="center"/>
          </w:tcPr>
          <w:p>
            <w:pPr>
              <w:spacing w:line="300" w:lineRule="exact"/>
              <w:jc w:val="left"/>
              <w:rPr>
                <w:rFonts w:ascii="仿宋" w:hAnsi="仿宋" w:eastAsia="仿宋"/>
              </w:rPr>
            </w:pPr>
            <w:r>
              <w:rPr>
                <w:rFonts w:hint="eastAsia" w:ascii="仿宋" w:hAnsi="仿宋" w:eastAsia="仿宋"/>
              </w:rPr>
              <w:t>科学编制政府绩效预算。规范预算执行，合理组织财政各项支出，促进社会事业发展。推进预算公开，实施全面规范、公开透明的预算制度。</w:t>
            </w:r>
          </w:p>
        </w:tc>
        <w:tc>
          <w:tcPr>
            <w:tcW w:w="2976" w:type="dxa"/>
            <w:vAlign w:val="center"/>
          </w:tcPr>
          <w:p>
            <w:pPr>
              <w:spacing w:line="300" w:lineRule="exact"/>
              <w:jc w:val="left"/>
              <w:rPr>
                <w:rFonts w:ascii="仿宋" w:hAnsi="仿宋" w:eastAsia="仿宋"/>
              </w:rPr>
            </w:pPr>
            <w:r>
              <w:rPr>
                <w:rFonts w:hint="eastAsia" w:ascii="仿宋" w:hAnsi="仿宋" w:eastAsia="仿宋"/>
              </w:rPr>
              <w:t>负责编制年度本级公共财政预算、国有资本经营预算、汇编镇年度预决算草案，向镇人民代表大会报告全镇及镇本级预算情况。</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预算编制管理</w:t>
            </w:r>
          </w:p>
        </w:tc>
        <w:tc>
          <w:tcPr>
            <w:tcW w:w="1276" w:type="dxa"/>
            <w:vAlign w:val="center"/>
          </w:tcPr>
          <w:p>
            <w:pPr>
              <w:spacing w:line="300" w:lineRule="exact"/>
              <w:jc w:val="left"/>
              <w:rPr>
                <w:rFonts w:ascii="仿宋" w:hAnsi="仿宋" w:eastAsia="仿宋"/>
              </w:rPr>
            </w:pPr>
            <w:r>
              <w:rPr>
                <w:rFonts w:ascii="仿宋" w:hAnsi="仿宋" w:eastAsia="仿宋"/>
              </w:rPr>
              <w:t>5.00</w:t>
            </w:r>
          </w:p>
        </w:tc>
        <w:tc>
          <w:tcPr>
            <w:tcW w:w="2976" w:type="dxa"/>
            <w:vAlign w:val="center"/>
          </w:tcPr>
          <w:p>
            <w:pPr>
              <w:spacing w:line="300" w:lineRule="exact"/>
              <w:jc w:val="left"/>
              <w:rPr>
                <w:rFonts w:ascii="仿宋" w:hAnsi="仿宋" w:eastAsia="仿宋"/>
              </w:rPr>
            </w:pPr>
            <w:r>
              <w:rPr>
                <w:rFonts w:hint="eastAsia" w:ascii="仿宋" w:hAnsi="仿宋" w:eastAsia="仿宋"/>
              </w:rPr>
              <w:t>负责编制年度本级公共财政预算、国有资本经营预算、汇编镇年度预决算草案，向镇人民代表大会报告全镇及镇本级预算情况。</w:t>
            </w:r>
          </w:p>
        </w:tc>
        <w:tc>
          <w:tcPr>
            <w:tcW w:w="2976" w:type="dxa"/>
            <w:vAlign w:val="center"/>
          </w:tcPr>
          <w:p>
            <w:pPr>
              <w:spacing w:line="300" w:lineRule="exact"/>
              <w:jc w:val="left"/>
              <w:rPr>
                <w:rFonts w:ascii="仿宋" w:hAnsi="仿宋" w:eastAsia="仿宋"/>
              </w:rPr>
            </w:pPr>
            <w:r>
              <w:rPr>
                <w:rFonts w:hint="eastAsia" w:ascii="仿宋" w:hAnsi="仿宋" w:eastAsia="仿宋"/>
              </w:rPr>
              <w:t>预算编制全面、合理，报告及时</w:t>
            </w:r>
          </w:p>
        </w:tc>
        <w:tc>
          <w:tcPr>
            <w:tcW w:w="1417" w:type="dxa"/>
            <w:vAlign w:val="center"/>
          </w:tcPr>
          <w:p>
            <w:pPr>
              <w:spacing w:line="300" w:lineRule="exact"/>
              <w:jc w:val="left"/>
              <w:rPr>
                <w:rFonts w:ascii="仿宋" w:hAnsi="仿宋" w:eastAsia="仿宋"/>
              </w:rPr>
            </w:pPr>
            <w:r>
              <w:rPr>
                <w:rFonts w:hint="eastAsia" w:ascii="仿宋" w:hAnsi="仿宋" w:eastAsia="仿宋"/>
              </w:rPr>
              <w:t>全面、合理性</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gridSpan w:val="2"/>
            <w:vAlign w:val="center"/>
          </w:tcPr>
          <w:p>
            <w:pPr>
              <w:spacing w:line="300" w:lineRule="exact"/>
              <w:jc w:val="center"/>
              <w:rPr>
                <w:rFonts w:ascii="仿宋" w:hAnsi="仿宋" w:eastAsia="仿宋"/>
              </w:rPr>
            </w:pPr>
            <w:r>
              <w:rPr>
                <w:rFonts w:ascii="仿宋" w:hAnsi="仿宋" w:eastAsia="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公共服务工程推广</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农家书屋建设、全民阅读活动</w:t>
            </w:r>
          </w:p>
        </w:tc>
        <w:tc>
          <w:tcPr>
            <w:tcW w:w="2976" w:type="dxa"/>
            <w:vAlign w:val="center"/>
          </w:tcPr>
          <w:p>
            <w:pPr>
              <w:spacing w:line="300" w:lineRule="exact"/>
              <w:jc w:val="left"/>
              <w:rPr>
                <w:rFonts w:ascii="仿宋" w:hAnsi="仿宋" w:eastAsia="仿宋"/>
              </w:rPr>
            </w:pPr>
            <w:r>
              <w:rPr>
                <w:rFonts w:hint="eastAsia" w:ascii="仿宋" w:hAnsi="仿宋" w:eastAsia="仿宋"/>
              </w:rPr>
              <w:t>完成国家下达的广播电视直播卫星户户通工程、农村电影工作、镇城数字影院升级改造、农家书屋建设、全民阅读活动、老放映员生活补助以及应急广播体系建设等任务目标。</w:t>
            </w:r>
          </w:p>
        </w:tc>
        <w:tc>
          <w:tcPr>
            <w:tcW w:w="1417" w:type="dxa"/>
            <w:vAlign w:val="center"/>
          </w:tcPr>
          <w:p>
            <w:pPr>
              <w:spacing w:line="300" w:lineRule="exact"/>
              <w:jc w:val="left"/>
              <w:rPr>
                <w:rFonts w:ascii="仿宋" w:hAnsi="仿宋" w:eastAsia="仿宋"/>
              </w:rPr>
            </w:pPr>
            <w:r>
              <w:rPr>
                <w:rFonts w:hint="eastAsia" w:ascii="仿宋" w:hAnsi="仿宋" w:eastAsia="仿宋"/>
              </w:rPr>
              <w:t>户户通工程任务完成率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农业政务管理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开展农业宣传，推动农业政策落实。保障农业信息网络和各项政党工作的开展</w:t>
            </w:r>
          </w:p>
        </w:tc>
        <w:tc>
          <w:tcPr>
            <w:tcW w:w="2976" w:type="dxa"/>
            <w:vAlign w:val="center"/>
          </w:tcPr>
          <w:p>
            <w:pPr>
              <w:spacing w:line="300" w:lineRule="exact"/>
              <w:jc w:val="left"/>
              <w:rPr>
                <w:rFonts w:ascii="仿宋" w:hAnsi="仿宋" w:eastAsia="仿宋"/>
              </w:rPr>
            </w:pPr>
            <w:r>
              <w:rPr>
                <w:rFonts w:hint="eastAsia" w:ascii="仿宋" w:hAnsi="仿宋" w:eastAsia="仿宋"/>
              </w:rPr>
              <w:t>保障各项农业工作的正常运行</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综合事务管理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加强机关事务性管理，开展机关自身能力建设。</w:t>
            </w:r>
          </w:p>
        </w:tc>
        <w:tc>
          <w:tcPr>
            <w:tcW w:w="2976" w:type="dxa"/>
            <w:vAlign w:val="center"/>
          </w:tcPr>
          <w:p>
            <w:pPr>
              <w:spacing w:line="300" w:lineRule="exact"/>
              <w:jc w:val="left"/>
              <w:rPr>
                <w:rFonts w:ascii="仿宋" w:hAnsi="仿宋" w:eastAsia="仿宋"/>
              </w:rPr>
            </w:pPr>
            <w:r>
              <w:rPr>
                <w:rFonts w:hint="eastAsia" w:ascii="仿宋" w:hAnsi="仿宋" w:eastAsia="仿宋"/>
              </w:rPr>
              <w:t>高效保障机关日常运转</w:t>
            </w:r>
          </w:p>
        </w:tc>
        <w:tc>
          <w:tcPr>
            <w:tcW w:w="1417" w:type="dxa"/>
            <w:vAlign w:val="center"/>
          </w:tcPr>
          <w:p>
            <w:pPr>
              <w:spacing w:line="300" w:lineRule="exact"/>
              <w:jc w:val="left"/>
              <w:rPr>
                <w:rFonts w:ascii="仿宋" w:hAnsi="仿宋" w:eastAsia="仿宋"/>
              </w:rPr>
            </w:pPr>
            <w:r>
              <w:rPr>
                <w:rFonts w:hint="eastAsia" w:ascii="仿宋" w:hAnsi="仿宋" w:eastAsia="仿宋"/>
              </w:rPr>
              <w:t>工作任务完成率</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60%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预算执行管理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镇本级支出预算指标登记与核算，预算资金审核拨付与监管；按月汇总统计全镇预算执行情况，提交分析报告。</w:t>
            </w:r>
          </w:p>
        </w:tc>
        <w:tc>
          <w:tcPr>
            <w:tcW w:w="2976" w:type="dxa"/>
            <w:vAlign w:val="center"/>
          </w:tcPr>
          <w:p>
            <w:pPr>
              <w:spacing w:line="300" w:lineRule="exact"/>
              <w:jc w:val="left"/>
              <w:rPr>
                <w:rFonts w:ascii="仿宋" w:hAnsi="仿宋" w:eastAsia="仿宋"/>
              </w:rPr>
            </w:pPr>
            <w:r>
              <w:rPr>
                <w:rFonts w:hint="eastAsia" w:ascii="仿宋" w:hAnsi="仿宋" w:eastAsia="仿宋"/>
              </w:rPr>
              <w:t>预算收支登记准确、规范，资金拨付及时。</w:t>
            </w:r>
          </w:p>
        </w:tc>
        <w:tc>
          <w:tcPr>
            <w:tcW w:w="1417" w:type="dxa"/>
            <w:vAlign w:val="center"/>
          </w:tcPr>
          <w:p>
            <w:pPr>
              <w:spacing w:line="300" w:lineRule="exact"/>
              <w:jc w:val="left"/>
              <w:rPr>
                <w:rFonts w:ascii="仿宋" w:hAnsi="仿宋" w:eastAsia="仿宋"/>
              </w:rPr>
            </w:pPr>
            <w:r>
              <w:rPr>
                <w:rFonts w:hint="eastAsia" w:ascii="仿宋" w:hAnsi="仿宋" w:eastAsia="仿宋"/>
              </w:rPr>
              <w:t>预算收支登记准确性、规范性，资金拨付及时性。</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70%</w:t>
            </w:r>
          </w:p>
        </w:tc>
        <w:tc>
          <w:tcPr>
            <w:tcW w:w="737" w:type="dxa"/>
            <w:gridSpan w:val="2"/>
            <w:vAlign w:val="center"/>
          </w:tcPr>
          <w:p>
            <w:pPr>
              <w:spacing w:line="300" w:lineRule="exact"/>
              <w:jc w:val="center"/>
              <w:rPr>
                <w:rFonts w:ascii="仿宋" w:hAnsi="仿宋" w:eastAsia="仿宋"/>
              </w:rPr>
            </w:pPr>
            <w:r>
              <w:rPr>
                <w:rFonts w:ascii="仿宋" w:hAnsi="仿宋" w:eastAsia="仿宋"/>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财务会计管理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管理全镇会计工作，监督和规范会计行为，组织实施国家统一的会计制度、财务制度；</w:t>
            </w:r>
          </w:p>
        </w:tc>
        <w:tc>
          <w:tcPr>
            <w:tcW w:w="2976" w:type="dxa"/>
            <w:vAlign w:val="center"/>
          </w:tcPr>
          <w:p>
            <w:pPr>
              <w:spacing w:line="300" w:lineRule="exact"/>
              <w:jc w:val="left"/>
              <w:rPr>
                <w:rFonts w:ascii="仿宋" w:hAnsi="仿宋" w:eastAsia="仿宋"/>
              </w:rPr>
            </w:pPr>
            <w:r>
              <w:rPr>
                <w:rFonts w:hint="eastAsia" w:ascii="仿宋" w:hAnsi="仿宋" w:eastAsia="仿宋"/>
              </w:rPr>
              <w:t>贯彻实施国家会计法律、规章、制度和会计准则，并对执行情况进行监督检查。</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会计制度管理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贯彻实施国家会计法律、规章、制度和会计准则，并对执行情况进行监督检查。</w:t>
            </w:r>
          </w:p>
        </w:tc>
        <w:tc>
          <w:tcPr>
            <w:tcW w:w="2976" w:type="dxa"/>
            <w:vAlign w:val="center"/>
          </w:tcPr>
          <w:p>
            <w:pPr>
              <w:spacing w:line="300" w:lineRule="exact"/>
              <w:jc w:val="left"/>
              <w:rPr>
                <w:rFonts w:ascii="仿宋" w:hAnsi="仿宋" w:eastAsia="仿宋"/>
              </w:rPr>
            </w:pPr>
            <w:r>
              <w:rPr>
                <w:rFonts w:hint="eastAsia" w:ascii="仿宋" w:hAnsi="仿宋" w:eastAsia="仿宋"/>
              </w:rPr>
              <w:t>严格执行国家会计法律、规章、制度和会计准则，随时监督，定期检查</w:t>
            </w:r>
          </w:p>
        </w:tc>
        <w:tc>
          <w:tcPr>
            <w:tcW w:w="1417" w:type="dxa"/>
            <w:vAlign w:val="center"/>
          </w:tcPr>
          <w:p>
            <w:pPr>
              <w:spacing w:line="300" w:lineRule="exact"/>
              <w:jc w:val="left"/>
              <w:rPr>
                <w:rFonts w:ascii="仿宋" w:hAnsi="仿宋" w:eastAsia="仿宋"/>
              </w:rPr>
            </w:pPr>
            <w:r>
              <w:rPr>
                <w:rFonts w:hint="eastAsia" w:ascii="仿宋" w:hAnsi="仿宋" w:eastAsia="仿宋"/>
              </w:rPr>
              <w:t>执行的严格性</w:t>
            </w:r>
          </w:p>
        </w:tc>
        <w:tc>
          <w:tcPr>
            <w:tcW w:w="773" w:type="dxa"/>
            <w:vAlign w:val="center"/>
          </w:tcPr>
          <w:p>
            <w:pPr>
              <w:spacing w:line="300" w:lineRule="exact"/>
              <w:jc w:val="center"/>
              <w:rPr>
                <w:rFonts w:ascii="仿宋" w:hAnsi="仿宋" w:eastAsia="仿宋"/>
              </w:rPr>
            </w:pPr>
            <w:r>
              <w:rPr>
                <w:rFonts w:hint="eastAsia" w:ascii="仿宋" w:hAnsi="仿宋" w:eastAsia="仿宋"/>
              </w:rPr>
              <w:t>严格执行</w:t>
            </w:r>
          </w:p>
        </w:tc>
        <w:tc>
          <w:tcPr>
            <w:tcW w:w="737" w:type="dxa"/>
            <w:vAlign w:val="center"/>
          </w:tcPr>
          <w:p>
            <w:pPr>
              <w:spacing w:line="300" w:lineRule="exact"/>
              <w:jc w:val="center"/>
              <w:rPr>
                <w:rFonts w:ascii="仿宋" w:hAnsi="仿宋" w:eastAsia="仿宋"/>
              </w:rPr>
            </w:pPr>
            <w:r>
              <w:rPr>
                <w:rFonts w:hint="eastAsia" w:ascii="仿宋" w:hAnsi="仿宋" w:eastAsia="仿宋"/>
              </w:rPr>
              <w:t>比较严格</w:t>
            </w:r>
          </w:p>
        </w:tc>
        <w:tc>
          <w:tcPr>
            <w:tcW w:w="737" w:type="dxa"/>
            <w:vAlign w:val="center"/>
          </w:tcPr>
          <w:p>
            <w:pPr>
              <w:spacing w:line="300" w:lineRule="exact"/>
              <w:jc w:val="center"/>
              <w:rPr>
                <w:rFonts w:ascii="仿宋" w:hAnsi="仿宋" w:eastAsia="仿宋"/>
              </w:rPr>
            </w:pPr>
            <w:r>
              <w:rPr>
                <w:rFonts w:hint="eastAsia" w:ascii="仿宋" w:hAnsi="仿宋" w:eastAsia="仿宋"/>
              </w:rPr>
              <w:t>一般</w:t>
            </w:r>
          </w:p>
        </w:tc>
        <w:tc>
          <w:tcPr>
            <w:tcW w:w="737" w:type="dxa"/>
            <w:gridSpan w:val="2"/>
            <w:vAlign w:val="center"/>
          </w:tcPr>
          <w:p>
            <w:pPr>
              <w:spacing w:line="300" w:lineRule="exact"/>
              <w:jc w:val="center"/>
              <w:rPr>
                <w:rFonts w:ascii="仿宋" w:hAnsi="仿宋" w:eastAsia="仿宋"/>
              </w:rPr>
            </w:pPr>
            <w:r>
              <w:rPr>
                <w:rFonts w:hint="eastAsia" w:ascii="仿宋" w:hAnsi="仿宋" w:eastAsia="仿宋"/>
              </w:rPr>
              <w:t>不严格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决算管理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编制镇本级财政总决算，汇总编报全镇财政总决算，汇总编报社保基金决算；编制镇本级部门决算，汇总编报全镇部门决算，提交并按程序审批报送财政总决算报告和部门决算报告，组织镇直部门决算批复。</w:t>
            </w:r>
          </w:p>
        </w:tc>
        <w:tc>
          <w:tcPr>
            <w:tcW w:w="2976" w:type="dxa"/>
            <w:vAlign w:val="center"/>
          </w:tcPr>
          <w:p>
            <w:pPr>
              <w:spacing w:line="300" w:lineRule="exact"/>
              <w:jc w:val="left"/>
              <w:rPr>
                <w:rFonts w:ascii="仿宋" w:hAnsi="仿宋" w:eastAsia="仿宋"/>
              </w:rPr>
            </w:pPr>
            <w:r>
              <w:rPr>
                <w:rFonts w:hint="eastAsia" w:ascii="仿宋" w:hAnsi="仿宋" w:eastAsia="仿宋"/>
              </w:rPr>
              <w:t>决算编制全面、合理，报告及时</w:t>
            </w:r>
          </w:p>
        </w:tc>
        <w:tc>
          <w:tcPr>
            <w:tcW w:w="1417" w:type="dxa"/>
            <w:vAlign w:val="center"/>
          </w:tcPr>
          <w:p>
            <w:pPr>
              <w:spacing w:line="300" w:lineRule="exact"/>
              <w:jc w:val="left"/>
              <w:rPr>
                <w:rFonts w:ascii="仿宋" w:hAnsi="仿宋" w:eastAsia="仿宋"/>
              </w:rPr>
            </w:pPr>
            <w:r>
              <w:rPr>
                <w:rFonts w:hint="eastAsia" w:ascii="仿宋" w:hAnsi="仿宋" w:eastAsia="仿宋"/>
              </w:rPr>
              <w:t>全面、合理性</w:t>
            </w:r>
          </w:p>
        </w:tc>
        <w:tc>
          <w:tcPr>
            <w:tcW w:w="773"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80%</w:t>
            </w:r>
          </w:p>
        </w:tc>
        <w:tc>
          <w:tcPr>
            <w:tcW w:w="737" w:type="dxa"/>
            <w:gridSpan w:val="2"/>
            <w:vAlign w:val="center"/>
          </w:tcPr>
          <w:p>
            <w:pPr>
              <w:spacing w:line="300" w:lineRule="exact"/>
              <w:jc w:val="center"/>
              <w:rPr>
                <w:rFonts w:ascii="仿宋" w:hAnsi="仿宋" w:eastAsia="仿宋"/>
              </w:rPr>
            </w:pPr>
            <w:r>
              <w:rPr>
                <w:rFonts w:ascii="仿宋" w:hAnsi="仿宋" w:eastAsia="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国有资产管理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对镇直行政事业单位资产配置、使用、处置事项进行管理。</w:t>
            </w:r>
          </w:p>
        </w:tc>
        <w:tc>
          <w:tcPr>
            <w:tcW w:w="2976" w:type="dxa"/>
            <w:vAlign w:val="center"/>
          </w:tcPr>
          <w:p>
            <w:pPr>
              <w:spacing w:line="300" w:lineRule="exact"/>
              <w:jc w:val="left"/>
              <w:rPr>
                <w:rFonts w:ascii="仿宋" w:hAnsi="仿宋" w:eastAsia="仿宋"/>
              </w:rPr>
            </w:pPr>
            <w:r>
              <w:rPr>
                <w:rFonts w:hint="eastAsia" w:ascii="仿宋" w:hAnsi="仿宋" w:eastAsia="仿宋"/>
              </w:rPr>
              <w:t>对镇直行政事业单位资产配置、使用、处置事项进行管理。</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行政事业单位国有资产管理</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jc w:val="left"/>
              <w:rPr>
                <w:rFonts w:ascii="仿宋" w:hAnsi="仿宋" w:eastAsia="仿宋"/>
              </w:rPr>
            </w:pPr>
            <w:r>
              <w:rPr>
                <w:rFonts w:hint="eastAsia" w:ascii="仿宋" w:hAnsi="仿宋" w:eastAsia="仿宋"/>
              </w:rPr>
              <w:t>对镇直行政事业单位资产配置、使用、处置事项进行管理。</w:t>
            </w:r>
          </w:p>
        </w:tc>
        <w:tc>
          <w:tcPr>
            <w:tcW w:w="2976" w:type="dxa"/>
            <w:vAlign w:val="center"/>
          </w:tcPr>
          <w:p>
            <w:pPr>
              <w:spacing w:line="300" w:lineRule="exact"/>
              <w:jc w:val="left"/>
              <w:rPr>
                <w:rFonts w:ascii="仿宋" w:hAnsi="仿宋" w:eastAsia="仿宋"/>
              </w:rPr>
            </w:pPr>
            <w:r>
              <w:rPr>
                <w:rFonts w:hint="eastAsia" w:ascii="仿宋" w:hAnsi="仿宋" w:eastAsia="仿宋"/>
              </w:rPr>
              <w:t>资产登记全面准确，处置规范</w:t>
            </w:r>
          </w:p>
        </w:tc>
        <w:tc>
          <w:tcPr>
            <w:tcW w:w="1417" w:type="dxa"/>
            <w:vAlign w:val="center"/>
          </w:tcPr>
          <w:p>
            <w:pPr>
              <w:spacing w:line="300" w:lineRule="exact"/>
              <w:jc w:val="left"/>
              <w:rPr>
                <w:rFonts w:ascii="仿宋" w:hAnsi="仿宋" w:eastAsia="仿宋"/>
              </w:rPr>
            </w:pPr>
            <w:r>
              <w:rPr>
                <w:rFonts w:hint="eastAsia" w:ascii="仿宋" w:hAnsi="仿宋" w:eastAsia="仿宋"/>
              </w:rPr>
              <w:t>全面、准确性</w:t>
            </w:r>
          </w:p>
        </w:tc>
        <w:tc>
          <w:tcPr>
            <w:tcW w:w="773" w:type="dxa"/>
            <w:vAlign w:val="center"/>
          </w:tcPr>
          <w:p>
            <w:pPr>
              <w:spacing w:line="300" w:lineRule="exact"/>
              <w:jc w:val="center"/>
              <w:rPr>
                <w:rFonts w:ascii="仿宋" w:hAnsi="仿宋" w:eastAsia="仿宋"/>
              </w:rPr>
            </w:pPr>
            <w:r>
              <w:rPr>
                <w:rFonts w:hint="eastAsia" w:ascii="仿宋" w:hAnsi="仿宋" w:eastAsia="仿宋"/>
              </w:rPr>
              <w:t>全面、准确</w:t>
            </w:r>
          </w:p>
        </w:tc>
        <w:tc>
          <w:tcPr>
            <w:tcW w:w="737" w:type="dxa"/>
            <w:vAlign w:val="center"/>
          </w:tcPr>
          <w:p>
            <w:pPr>
              <w:spacing w:line="300" w:lineRule="exact"/>
              <w:jc w:val="center"/>
              <w:rPr>
                <w:rFonts w:ascii="仿宋" w:hAnsi="仿宋" w:eastAsia="仿宋"/>
              </w:rPr>
            </w:pPr>
            <w:r>
              <w:rPr>
                <w:rFonts w:hint="eastAsia" w:ascii="仿宋" w:hAnsi="仿宋" w:eastAsia="仿宋"/>
              </w:rPr>
              <w:t>比较全面、准确</w:t>
            </w:r>
          </w:p>
        </w:tc>
        <w:tc>
          <w:tcPr>
            <w:tcW w:w="737" w:type="dxa"/>
            <w:vAlign w:val="center"/>
          </w:tcPr>
          <w:p>
            <w:pPr>
              <w:spacing w:line="300" w:lineRule="exact"/>
              <w:jc w:val="center"/>
              <w:rPr>
                <w:rFonts w:ascii="仿宋" w:hAnsi="仿宋" w:eastAsia="仿宋"/>
              </w:rPr>
            </w:pPr>
            <w:r>
              <w:rPr>
                <w:rFonts w:hint="eastAsia" w:ascii="仿宋" w:hAnsi="仿宋" w:eastAsia="仿宋"/>
              </w:rPr>
              <w:t>一般</w:t>
            </w:r>
          </w:p>
        </w:tc>
        <w:tc>
          <w:tcPr>
            <w:tcW w:w="737" w:type="dxa"/>
            <w:gridSpan w:val="2"/>
            <w:vAlign w:val="center"/>
          </w:tcPr>
          <w:p>
            <w:pPr>
              <w:spacing w:line="300" w:lineRule="exact"/>
              <w:jc w:val="center"/>
              <w:rPr>
                <w:rFonts w:ascii="仿宋" w:hAnsi="仿宋" w:eastAsia="仿宋"/>
              </w:rPr>
            </w:pPr>
            <w:r>
              <w:rPr>
                <w:rFonts w:hint="eastAsia" w:ascii="仿宋" w:hAnsi="仿宋" w:eastAsia="仿宋"/>
              </w:rPr>
              <w:t>不全面、不准确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政府专项工作服务与管理</w:t>
            </w:r>
          </w:p>
        </w:tc>
        <w:tc>
          <w:tcPr>
            <w:tcW w:w="1276" w:type="dxa"/>
            <w:vAlign w:val="center"/>
          </w:tcPr>
          <w:p>
            <w:pPr>
              <w:spacing w:line="300" w:lineRule="exact"/>
              <w:jc w:val="left"/>
              <w:rPr>
                <w:rFonts w:ascii="仿宋" w:hAnsi="仿宋" w:eastAsia="仿宋"/>
              </w:rPr>
            </w:pPr>
            <w:r>
              <w:rPr>
                <w:rFonts w:ascii="仿宋" w:hAnsi="仿宋" w:eastAsia="仿宋"/>
              </w:rPr>
              <w:t>200.67</w:t>
            </w:r>
          </w:p>
        </w:tc>
        <w:tc>
          <w:tcPr>
            <w:tcW w:w="2976" w:type="dxa"/>
            <w:vAlign w:val="center"/>
          </w:tcPr>
          <w:p>
            <w:pPr>
              <w:spacing w:line="300" w:lineRule="exact"/>
              <w:jc w:val="left"/>
              <w:rPr>
                <w:rFonts w:ascii="仿宋" w:hAnsi="仿宋" w:eastAsia="仿宋"/>
              </w:rPr>
            </w:pPr>
            <w:r>
              <w:rPr>
                <w:rFonts w:hint="eastAsia" w:ascii="仿宋" w:hAnsi="仿宋" w:eastAsia="仿宋"/>
              </w:rPr>
              <w:t>农村综合改革工作的服务与管理。</w:t>
            </w:r>
          </w:p>
        </w:tc>
        <w:tc>
          <w:tcPr>
            <w:tcW w:w="2976" w:type="dxa"/>
            <w:vAlign w:val="center"/>
          </w:tcPr>
          <w:p>
            <w:pPr>
              <w:spacing w:line="300" w:lineRule="exact"/>
              <w:jc w:val="left"/>
              <w:rPr>
                <w:rFonts w:ascii="仿宋" w:hAnsi="仿宋" w:eastAsia="仿宋"/>
              </w:rPr>
            </w:pPr>
            <w:r>
              <w:rPr>
                <w:rFonts w:hint="eastAsia" w:ascii="仿宋" w:hAnsi="仿宋" w:eastAsia="仿宋"/>
              </w:rPr>
              <w:t>负责指导和推动村级公益事业建设一事一议财政奖补、农村公共服务运行维护机制建设试点日常工作。</w:t>
            </w:r>
          </w:p>
        </w:tc>
        <w:tc>
          <w:tcPr>
            <w:tcW w:w="1417" w:type="dxa"/>
            <w:vAlign w:val="center"/>
          </w:tcPr>
          <w:p>
            <w:pPr>
              <w:spacing w:line="300" w:lineRule="exact"/>
              <w:jc w:val="left"/>
              <w:rPr>
                <w:rFonts w:ascii="仿宋" w:hAnsi="仿宋" w:eastAsia="仿宋"/>
              </w:rPr>
            </w:pPr>
          </w:p>
        </w:tc>
        <w:tc>
          <w:tcPr>
            <w:tcW w:w="773"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gridSpan w:val="2"/>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农村综合改革</w:t>
            </w:r>
          </w:p>
        </w:tc>
        <w:tc>
          <w:tcPr>
            <w:tcW w:w="1276" w:type="dxa"/>
            <w:vAlign w:val="center"/>
          </w:tcPr>
          <w:p>
            <w:pPr>
              <w:spacing w:line="300" w:lineRule="exact"/>
              <w:jc w:val="left"/>
              <w:rPr>
                <w:rFonts w:ascii="仿宋" w:hAnsi="仿宋" w:eastAsia="仿宋"/>
              </w:rPr>
            </w:pPr>
            <w:r>
              <w:rPr>
                <w:rFonts w:ascii="仿宋" w:hAnsi="仿宋" w:eastAsia="仿宋"/>
              </w:rPr>
              <w:t>200.67</w:t>
            </w:r>
          </w:p>
        </w:tc>
        <w:tc>
          <w:tcPr>
            <w:tcW w:w="2976" w:type="dxa"/>
            <w:vAlign w:val="center"/>
          </w:tcPr>
          <w:p>
            <w:pPr>
              <w:spacing w:line="300" w:lineRule="exact"/>
              <w:jc w:val="left"/>
              <w:rPr>
                <w:rFonts w:ascii="仿宋" w:hAnsi="仿宋" w:eastAsia="仿宋"/>
              </w:rPr>
            </w:pPr>
            <w:r>
              <w:rPr>
                <w:rFonts w:hint="eastAsia" w:ascii="仿宋" w:hAnsi="仿宋" w:eastAsia="仿宋"/>
              </w:rPr>
              <w:t>负责指导和推动村级公益事业建设一事一议财政奖补、农村公共服务运行维护机制建设试点日常工作。</w:t>
            </w:r>
          </w:p>
        </w:tc>
        <w:tc>
          <w:tcPr>
            <w:tcW w:w="2976" w:type="dxa"/>
            <w:vAlign w:val="center"/>
          </w:tcPr>
          <w:p>
            <w:pPr>
              <w:spacing w:line="300" w:lineRule="exact"/>
              <w:jc w:val="left"/>
              <w:rPr>
                <w:rFonts w:ascii="仿宋" w:hAnsi="仿宋" w:eastAsia="仿宋"/>
              </w:rPr>
            </w:pPr>
            <w:r>
              <w:rPr>
                <w:rFonts w:hint="eastAsia" w:ascii="仿宋" w:hAnsi="仿宋" w:eastAsia="仿宋"/>
              </w:rPr>
              <w:t>严格执行专项资金管理要求，专款专用，有效促进农村环境治理的改善。</w:t>
            </w:r>
          </w:p>
        </w:tc>
        <w:tc>
          <w:tcPr>
            <w:tcW w:w="1417" w:type="dxa"/>
            <w:vAlign w:val="center"/>
          </w:tcPr>
          <w:p>
            <w:pPr>
              <w:spacing w:line="300" w:lineRule="exact"/>
              <w:jc w:val="left"/>
              <w:rPr>
                <w:rFonts w:ascii="仿宋" w:hAnsi="仿宋" w:eastAsia="仿宋"/>
              </w:rPr>
            </w:pPr>
            <w:r>
              <w:rPr>
                <w:rFonts w:hint="eastAsia" w:ascii="仿宋" w:hAnsi="仿宋" w:eastAsia="仿宋"/>
              </w:rPr>
              <w:t>管理的规范性，资金拨付的及时性</w:t>
            </w:r>
          </w:p>
        </w:tc>
        <w:tc>
          <w:tcPr>
            <w:tcW w:w="773" w:type="dxa"/>
            <w:vAlign w:val="center"/>
          </w:tcPr>
          <w:p>
            <w:pPr>
              <w:spacing w:line="300" w:lineRule="exact"/>
              <w:jc w:val="center"/>
              <w:rPr>
                <w:rFonts w:ascii="仿宋" w:hAnsi="仿宋" w:eastAsia="仿宋"/>
              </w:rPr>
            </w:pPr>
            <w:r>
              <w:rPr>
                <w:rFonts w:hint="eastAsia" w:ascii="仿宋" w:hAnsi="仿宋" w:eastAsia="仿宋"/>
              </w:rPr>
              <w:t>规范、及时</w:t>
            </w:r>
          </w:p>
        </w:tc>
        <w:tc>
          <w:tcPr>
            <w:tcW w:w="737" w:type="dxa"/>
            <w:vAlign w:val="center"/>
          </w:tcPr>
          <w:p>
            <w:pPr>
              <w:spacing w:line="300" w:lineRule="exact"/>
              <w:jc w:val="center"/>
              <w:rPr>
                <w:rFonts w:ascii="仿宋" w:hAnsi="仿宋" w:eastAsia="仿宋"/>
              </w:rPr>
            </w:pPr>
            <w:r>
              <w:rPr>
                <w:rFonts w:hint="eastAsia" w:ascii="仿宋" w:hAnsi="仿宋" w:eastAsia="仿宋"/>
              </w:rPr>
              <w:t>比较规范、及时</w:t>
            </w:r>
          </w:p>
        </w:tc>
        <w:tc>
          <w:tcPr>
            <w:tcW w:w="737" w:type="dxa"/>
            <w:vAlign w:val="center"/>
          </w:tcPr>
          <w:p>
            <w:pPr>
              <w:spacing w:line="300" w:lineRule="exact"/>
              <w:jc w:val="center"/>
              <w:rPr>
                <w:rFonts w:ascii="仿宋" w:hAnsi="仿宋" w:eastAsia="仿宋"/>
              </w:rPr>
            </w:pPr>
            <w:r>
              <w:rPr>
                <w:rFonts w:hint="eastAsia" w:ascii="仿宋" w:hAnsi="仿宋" w:eastAsia="仿宋"/>
              </w:rPr>
              <w:t>一般</w:t>
            </w:r>
          </w:p>
        </w:tc>
        <w:tc>
          <w:tcPr>
            <w:tcW w:w="737" w:type="dxa"/>
            <w:gridSpan w:val="2"/>
            <w:vAlign w:val="center"/>
          </w:tcPr>
          <w:p>
            <w:pPr>
              <w:spacing w:line="300" w:lineRule="exact"/>
              <w:jc w:val="center"/>
              <w:rPr>
                <w:rFonts w:ascii="仿宋" w:hAnsi="仿宋" w:eastAsia="仿宋"/>
              </w:rPr>
            </w:pPr>
            <w:r>
              <w:rPr>
                <w:rFonts w:hint="eastAsia" w:ascii="仿宋" w:hAnsi="仿宋" w:eastAsia="仿宋"/>
              </w:rPr>
              <w:t>不规范、及时</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仿宋" w:hAnsi="仿宋" w:eastAsia="仿宋"/>
          <w:sz w:val="32"/>
          <w:szCs w:val="24"/>
        </w:rPr>
      </w:pPr>
      <w:bookmarkStart w:id="1" w:name="_Toc471398468"/>
      <w:r>
        <w:rPr>
          <w:rFonts w:ascii="仿宋" w:hAnsi="仿宋" w:eastAsia="仿宋"/>
          <w:sz w:val="32"/>
          <w:szCs w:val="24"/>
        </w:rPr>
        <w:t>2017</w:t>
      </w:r>
      <w:r>
        <w:rPr>
          <w:rFonts w:hint="eastAsia" w:ascii="仿宋" w:hAnsi="仿宋" w:eastAsia="仿宋"/>
          <w:sz w:val="32"/>
          <w:szCs w:val="24"/>
        </w:rPr>
        <w:t>年，我镇未安排政府采购预算。</w:t>
      </w:r>
    </w:p>
    <w:bookmarkEnd w:id="1"/>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廊坊市大厂回族自治县大厂镇人民政府上年末固定资产金额为</w:t>
      </w:r>
      <w:r>
        <w:rPr>
          <w:rFonts w:ascii="仿宋" w:hAnsi="仿宋" w:eastAsia="仿宋"/>
          <w:sz w:val="32"/>
          <w:szCs w:val="32"/>
        </w:rPr>
        <w:t>851.14</w:t>
      </w:r>
      <w:r>
        <w:rPr>
          <w:rFonts w:hint="eastAsia" w:ascii="仿宋" w:hAnsi="仿宋" w:eastAsia="仿宋"/>
          <w:sz w:val="32"/>
          <w:szCs w:val="32"/>
        </w:rPr>
        <w:t>万元，本年度无拟购置固定资产。详见下表。</w:t>
      </w:r>
    </w:p>
    <w:tbl>
      <w:tblPr>
        <w:tblStyle w:val="6"/>
        <w:tblW w:w="8844" w:type="dxa"/>
        <w:jc w:val="center"/>
        <w:tblLayout w:type="fixed"/>
        <w:tblCellMar>
          <w:top w:w="0" w:type="dxa"/>
          <w:left w:w="108" w:type="dxa"/>
          <w:bottom w:w="0" w:type="dxa"/>
          <w:right w:w="108" w:type="dxa"/>
        </w:tblCellMar>
      </w:tblPr>
      <w:tblGrid>
        <w:gridCol w:w="4040"/>
        <w:gridCol w:w="835"/>
        <w:gridCol w:w="3969"/>
      </w:tblGrid>
      <w:tr>
        <w:tblPrEx>
          <w:tblCellMar>
            <w:top w:w="0" w:type="dxa"/>
            <w:left w:w="108" w:type="dxa"/>
            <w:bottom w:w="0" w:type="dxa"/>
            <w:right w:w="108" w:type="dxa"/>
          </w:tblCellMar>
        </w:tblPrEx>
        <w:trPr>
          <w:trHeight w:val="1161" w:hRule="atLeast"/>
          <w:jc w:val="center"/>
        </w:trPr>
        <w:tc>
          <w:tcPr>
            <w:tcW w:w="8844"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大厂镇人民政府固定资产占用情况表</w:t>
            </w:r>
          </w:p>
        </w:tc>
      </w:tr>
      <w:tr>
        <w:tblPrEx>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编制部门：廊坊市大厂回族自治县大厂镇人民政府</w:t>
            </w:r>
          </w:p>
        </w:tc>
        <w:tc>
          <w:tcPr>
            <w:tcW w:w="3969" w:type="dxa"/>
            <w:tcBorders>
              <w:top w:val="nil"/>
              <w:left w:val="nil"/>
              <w:bottom w:val="nil"/>
              <w:right w:val="nil"/>
            </w:tcBorders>
            <w:vAlign w:val="center"/>
          </w:tcPr>
          <w:p>
            <w:pPr>
              <w:widowControl/>
              <w:ind w:firstLine="550" w:firstLineChars="2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jc w:val="center"/>
        </w:trPr>
        <w:tc>
          <w:tcPr>
            <w:tcW w:w="4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851.14</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641.94</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641.94</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67.22</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141.98</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、一般公共预算拨款收入：指县级财政当年拨付的资金。</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、事业收入：指事业单位开展专业业务活动及辅助活动所取得的收入。</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、其他收入：指除上述“财政拨款收入”、“事业收入”等以外的收入。主要是按规定动用的租房收入、存款利息收入等。</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、项目支出：指在基本支出之外为完成特定行政任务和事业发展目标所发生的支出。</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、上缴上级支出：指下级单位上缴上级的支出。</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jc w:val="left"/>
        <w:rPr>
          <w:rFonts w:ascii="仿宋" w:hAnsi="仿宋" w:eastAsia="仿宋" w:cs="仿宋"/>
          <w:color w:val="484747"/>
          <w:kern w:val="0"/>
          <w:sz w:val="32"/>
          <w:szCs w:val="32"/>
        </w:rPr>
      </w:pPr>
      <w:r>
        <w:rPr>
          <w:rFonts w:hint="eastAsia" w:ascii="黑体" w:hAnsi="黑体" w:eastAsia="黑体" w:cs="黑体"/>
          <w:bCs/>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p>
      <w:pPr>
        <w:tabs>
          <w:tab w:val="left" w:pos="11490"/>
        </w:tabs>
        <w:rPr>
          <w:rFonts w:ascii="仿宋" w:hAnsi="仿宋" w:eastAsia="仿宋"/>
          <w:sz w:val="32"/>
          <w:szCs w:val="32"/>
        </w:rPr>
      </w:pPr>
    </w:p>
    <w:p>
      <w:pPr>
        <w:tabs>
          <w:tab w:val="left" w:pos="11490"/>
        </w:tabs>
        <w:ind w:firstLine="640" w:firstLineChars="200"/>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yNTdkYWJlMDVhZjk1Y2MxZTkyMDcyMjY4NDc0YzEifQ=="/>
  </w:docVars>
  <w:rsids>
    <w:rsidRoot w:val="00F66032"/>
    <w:rsid w:val="00030BFE"/>
    <w:rsid w:val="000350A5"/>
    <w:rsid w:val="00037AF6"/>
    <w:rsid w:val="00045A61"/>
    <w:rsid w:val="00061071"/>
    <w:rsid w:val="00075D5F"/>
    <w:rsid w:val="00080D0B"/>
    <w:rsid w:val="00092625"/>
    <w:rsid w:val="000B0632"/>
    <w:rsid w:val="000C3A19"/>
    <w:rsid w:val="001245BB"/>
    <w:rsid w:val="00144C9C"/>
    <w:rsid w:val="00161316"/>
    <w:rsid w:val="0018479D"/>
    <w:rsid w:val="001D5B9D"/>
    <w:rsid w:val="0020534D"/>
    <w:rsid w:val="00241FD4"/>
    <w:rsid w:val="00246486"/>
    <w:rsid w:val="00251B12"/>
    <w:rsid w:val="002645FB"/>
    <w:rsid w:val="002713CE"/>
    <w:rsid w:val="00275F29"/>
    <w:rsid w:val="00277954"/>
    <w:rsid w:val="00287F76"/>
    <w:rsid w:val="00295230"/>
    <w:rsid w:val="00296113"/>
    <w:rsid w:val="002F3E58"/>
    <w:rsid w:val="0030542C"/>
    <w:rsid w:val="00311B7A"/>
    <w:rsid w:val="003E1A7F"/>
    <w:rsid w:val="003F561E"/>
    <w:rsid w:val="00424BA8"/>
    <w:rsid w:val="00451871"/>
    <w:rsid w:val="004709A2"/>
    <w:rsid w:val="00472923"/>
    <w:rsid w:val="004E3066"/>
    <w:rsid w:val="004E74CD"/>
    <w:rsid w:val="004F54CC"/>
    <w:rsid w:val="005344BA"/>
    <w:rsid w:val="00550FE9"/>
    <w:rsid w:val="0057344B"/>
    <w:rsid w:val="00573562"/>
    <w:rsid w:val="00597804"/>
    <w:rsid w:val="005C47B9"/>
    <w:rsid w:val="006070A9"/>
    <w:rsid w:val="00613110"/>
    <w:rsid w:val="00614A29"/>
    <w:rsid w:val="00637A49"/>
    <w:rsid w:val="00652238"/>
    <w:rsid w:val="006B3556"/>
    <w:rsid w:val="006C5021"/>
    <w:rsid w:val="006D2247"/>
    <w:rsid w:val="006D6F71"/>
    <w:rsid w:val="006E0E6F"/>
    <w:rsid w:val="0075217C"/>
    <w:rsid w:val="0075393C"/>
    <w:rsid w:val="00776C08"/>
    <w:rsid w:val="00777653"/>
    <w:rsid w:val="00787C7D"/>
    <w:rsid w:val="00790B9A"/>
    <w:rsid w:val="007B4EE0"/>
    <w:rsid w:val="007B6409"/>
    <w:rsid w:val="007D315C"/>
    <w:rsid w:val="007E1DA8"/>
    <w:rsid w:val="007F6C26"/>
    <w:rsid w:val="0082428B"/>
    <w:rsid w:val="008334AE"/>
    <w:rsid w:val="00836FED"/>
    <w:rsid w:val="00845CD2"/>
    <w:rsid w:val="008502D8"/>
    <w:rsid w:val="00852B0D"/>
    <w:rsid w:val="00855A10"/>
    <w:rsid w:val="00881692"/>
    <w:rsid w:val="00894304"/>
    <w:rsid w:val="008B3CC5"/>
    <w:rsid w:val="008C2BAF"/>
    <w:rsid w:val="008E4261"/>
    <w:rsid w:val="008F4662"/>
    <w:rsid w:val="00905D08"/>
    <w:rsid w:val="00925753"/>
    <w:rsid w:val="00966101"/>
    <w:rsid w:val="00966C5C"/>
    <w:rsid w:val="00973104"/>
    <w:rsid w:val="009D287F"/>
    <w:rsid w:val="009D59B8"/>
    <w:rsid w:val="009F0241"/>
    <w:rsid w:val="00A103BB"/>
    <w:rsid w:val="00A3364F"/>
    <w:rsid w:val="00A42D5A"/>
    <w:rsid w:val="00A434BB"/>
    <w:rsid w:val="00A4772C"/>
    <w:rsid w:val="00A72D2E"/>
    <w:rsid w:val="00A911E7"/>
    <w:rsid w:val="00A939D9"/>
    <w:rsid w:val="00A94DE1"/>
    <w:rsid w:val="00AA1AB8"/>
    <w:rsid w:val="00AA34F3"/>
    <w:rsid w:val="00AE0186"/>
    <w:rsid w:val="00AE4067"/>
    <w:rsid w:val="00B20712"/>
    <w:rsid w:val="00B43238"/>
    <w:rsid w:val="00B65D73"/>
    <w:rsid w:val="00B72D77"/>
    <w:rsid w:val="00B75216"/>
    <w:rsid w:val="00B91D52"/>
    <w:rsid w:val="00BA1ACD"/>
    <w:rsid w:val="00BF5154"/>
    <w:rsid w:val="00C1389D"/>
    <w:rsid w:val="00C31CDD"/>
    <w:rsid w:val="00C67822"/>
    <w:rsid w:val="00CA7176"/>
    <w:rsid w:val="00CD2773"/>
    <w:rsid w:val="00CE143B"/>
    <w:rsid w:val="00D57842"/>
    <w:rsid w:val="00DC2178"/>
    <w:rsid w:val="00E167C7"/>
    <w:rsid w:val="00E505FE"/>
    <w:rsid w:val="00EA6160"/>
    <w:rsid w:val="00EC47F6"/>
    <w:rsid w:val="00EE1B43"/>
    <w:rsid w:val="00F048F1"/>
    <w:rsid w:val="00F1136F"/>
    <w:rsid w:val="00F153EF"/>
    <w:rsid w:val="00F21878"/>
    <w:rsid w:val="00F63486"/>
    <w:rsid w:val="00F66032"/>
    <w:rsid w:val="00F66C09"/>
    <w:rsid w:val="00F958C2"/>
    <w:rsid w:val="00FA4456"/>
    <w:rsid w:val="00FA7D8C"/>
    <w:rsid w:val="00FD0EA9"/>
    <w:rsid w:val="015E22A7"/>
    <w:rsid w:val="02A35ABB"/>
    <w:rsid w:val="052F7EE4"/>
    <w:rsid w:val="0A132CC9"/>
    <w:rsid w:val="0BA87947"/>
    <w:rsid w:val="0C453A2F"/>
    <w:rsid w:val="0D384872"/>
    <w:rsid w:val="0E1272B3"/>
    <w:rsid w:val="0E4C3FB9"/>
    <w:rsid w:val="0ECC7D5D"/>
    <w:rsid w:val="0F450DF3"/>
    <w:rsid w:val="10360B99"/>
    <w:rsid w:val="113A21BD"/>
    <w:rsid w:val="12C96627"/>
    <w:rsid w:val="1386677C"/>
    <w:rsid w:val="17EF6A21"/>
    <w:rsid w:val="1A5F1011"/>
    <w:rsid w:val="1C711440"/>
    <w:rsid w:val="1D0F1013"/>
    <w:rsid w:val="1DB77DFD"/>
    <w:rsid w:val="1F925682"/>
    <w:rsid w:val="224E639F"/>
    <w:rsid w:val="23674AD3"/>
    <w:rsid w:val="24406F89"/>
    <w:rsid w:val="26367914"/>
    <w:rsid w:val="264734B3"/>
    <w:rsid w:val="28762880"/>
    <w:rsid w:val="289F521A"/>
    <w:rsid w:val="290E407E"/>
    <w:rsid w:val="2919310E"/>
    <w:rsid w:val="2B714533"/>
    <w:rsid w:val="2CB74F17"/>
    <w:rsid w:val="2FB969BD"/>
    <w:rsid w:val="30404144"/>
    <w:rsid w:val="31752614"/>
    <w:rsid w:val="355330E0"/>
    <w:rsid w:val="36146BC4"/>
    <w:rsid w:val="36601B2B"/>
    <w:rsid w:val="3A6C3458"/>
    <w:rsid w:val="3BC77C35"/>
    <w:rsid w:val="3D1F642A"/>
    <w:rsid w:val="3E7C7008"/>
    <w:rsid w:val="3F6A47CA"/>
    <w:rsid w:val="40C22E03"/>
    <w:rsid w:val="41161CFC"/>
    <w:rsid w:val="414E4F77"/>
    <w:rsid w:val="429F2E1C"/>
    <w:rsid w:val="480F3E2A"/>
    <w:rsid w:val="49D47710"/>
    <w:rsid w:val="4A621A52"/>
    <w:rsid w:val="4D2458BB"/>
    <w:rsid w:val="4F200449"/>
    <w:rsid w:val="50F17D6E"/>
    <w:rsid w:val="510A3AAE"/>
    <w:rsid w:val="55176516"/>
    <w:rsid w:val="56931ED2"/>
    <w:rsid w:val="5D540DC2"/>
    <w:rsid w:val="5D907470"/>
    <w:rsid w:val="5E460E27"/>
    <w:rsid w:val="5F331EEE"/>
    <w:rsid w:val="5F6535BB"/>
    <w:rsid w:val="61C60BDB"/>
    <w:rsid w:val="672F1B3F"/>
    <w:rsid w:val="67693F46"/>
    <w:rsid w:val="68CF7A4A"/>
    <w:rsid w:val="69F655EA"/>
    <w:rsid w:val="6C387A40"/>
    <w:rsid w:val="6D0E281B"/>
    <w:rsid w:val="6DAC7338"/>
    <w:rsid w:val="6F744B9F"/>
    <w:rsid w:val="71220D2A"/>
    <w:rsid w:val="72CC0BF9"/>
    <w:rsid w:val="73FA539E"/>
    <w:rsid w:val="76F23547"/>
    <w:rsid w:val="77AA5952"/>
    <w:rsid w:val="78335A8B"/>
    <w:rsid w:val="7BAE303E"/>
    <w:rsid w:val="7C735EAC"/>
    <w:rsid w:val="7C7D38A8"/>
    <w:rsid w:val="7F507549"/>
    <w:rsid w:val="7FBC0F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autoRedefine/>
    <w:qFormat/>
    <w:uiPriority w:val="99"/>
    <w:rPr>
      <w:rFonts w:ascii="Times New Roman" w:hAnsi="Times New Roman"/>
      <w:szCs w:val="24"/>
    </w:rPr>
  </w:style>
  <w:style w:type="paragraph" w:styleId="5">
    <w:name w:val="toc 2"/>
    <w:basedOn w:val="1"/>
    <w:next w:val="1"/>
    <w:autoRedefine/>
    <w:qFormat/>
    <w:uiPriority w:val="99"/>
    <w:pPr>
      <w:ind w:left="420" w:leftChars="200"/>
    </w:pPr>
    <w:rPr>
      <w:rFonts w:ascii="Times New Roman" w:hAnsi="Times New Roman"/>
      <w:szCs w:val="24"/>
    </w:rPr>
  </w:style>
  <w:style w:type="character" w:customStyle="1" w:styleId="8">
    <w:name w:val="页脚 Char"/>
    <w:basedOn w:val="7"/>
    <w:link w:val="2"/>
    <w:locked/>
    <w:uiPriority w:val="99"/>
    <w:rPr>
      <w:rFonts w:ascii="Times New Roman" w:hAnsi="Times New Roman" w:eastAsia="宋体" w:cs="Times New Roman"/>
      <w:sz w:val="18"/>
      <w:szCs w:val="18"/>
    </w:rPr>
  </w:style>
  <w:style w:type="character" w:customStyle="1" w:styleId="9">
    <w:name w:val="页眉 Char"/>
    <w:basedOn w:val="7"/>
    <w:link w:val="3"/>
    <w:locked/>
    <w:uiPriority w:val="99"/>
    <w:rPr>
      <w:rFonts w:ascii="Times New Roman" w:hAnsi="Times New Roman" w:eastAsia="宋体" w:cs="Times New Roman"/>
      <w:sz w:val="18"/>
      <w:szCs w:val="18"/>
    </w:rPr>
  </w:style>
  <w:style w:type="paragraph" w:customStyle="1" w:styleId="10">
    <w:name w:val="列出段落1"/>
    <w:basedOn w:val="1"/>
    <w:autoRedefine/>
    <w:qFormat/>
    <w:uiPriority w:val="99"/>
    <w:pPr>
      <w:ind w:firstLine="420" w:firstLineChars="200"/>
    </w:pPr>
  </w:style>
  <w:style w:type="paragraph" w:customStyle="1" w:styleId="11">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946</Words>
  <Characters>5398</Characters>
  <Lines>44</Lines>
  <Paragraphs>12</Paragraphs>
  <TotalTime>128</TotalTime>
  <ScaleCrop>false</ScaleCrop>
  <LinksUpToDate>false</LinksUpToDate>
  <CharactersWithSpaces>6332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2023-12-29T02:26:49Z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694AFBF21B134FB1B8E5113924EFEA68_12</vt:lpwstr>
  </property>
</Properties>
</file>